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96066CF" w:rsidR="00C64E57" w:rsidRDefault="00DA283C" w:rsidP="00C64E57">
      <w:pPr>
        <w:spacing w:after="0"/>
        <w:rPr>
          <w:sz w:val="20"/>
        </w:rPr>
      </w:pPr>
      <w:r>
        <w:rPr>
          <w:sz w:val="20"/>
        </w:rPr>
        <w:t xml:space="preserve">Materialblatt </w:t>
      </w:r>
      <w:r w:rsidR="00E405F5">
        <w:rPr>
          <w:sz w:val="20"/>
        </w:rPr>
        <w:t>422</w:t>
      </w:r>
    </w:p>
    <w:p w14:paraId="441B389F" w14:textId="1BAD03E7" w:rsidR="00E33A8F" w:rsidRDefault="008D6374" w:rsidP="00E33A8F">
      <w:pPr>
        <w:spacing w:after="0" w:line="240" w:lineRule="auto"/>
        <w:rPr>
          <w:sz w:val="20"/>
        </w:rPr>
      </w:pPr>
      <w:r w:rsidRPr="008D6374">
        <w:rPr>
          <w:sz w:val="20"/>
        </w:rPr>
        <w:t>Stichworte:</w:t>
      </w:r>
    </w:p>
    <w:p w14:paraId="28CB2E64" w14:textId="77777777" w:rsidR="005F4593" w:rsidRDefault="005F4593" w:rsidP="008A2590">
      <w:pPr>
        <w:spacing w:after="0" w:line="240" w:lineRule="auto"/>
        <w:ind w:left="284"/>
        <w:rPr>
          <w:sz w:val="20"/>
        </w:rPr>
      </w:pPr>
      <w:r>
        <w:rPr>
          <w:sz w:val="20"/>
        </w:rPr>
        <w:t>Kirchengeschichte</w:t>
      </w:r>
    </w:p>
    <w:p w14:paraId="15BF6C7A" w14:textId="77777777" w:rsidR="005F4593" w:rsidRDefault="005F4593" w:rsidP="008A2590">
      <w:pPr>
        <w:spacing w:after="0" w:line="240" w:lineRule="auto"/>
        <w:ind w:left="284"/>
        <w:rPr>
          <w:sz w:val="20"/>
        </w:rPr>
      </w:pPr>
      <w:r>
        <w:rPr>
          <w:sz w:val="20"/>
        </w:rPr>
        <w:t>Konfessionen</w:t>
      </w:r>
    </w:p>
    <w:p w14:paraId="6BB135FF" w14:textId="77777777" w:rsidR="005F4593" w:rsidRDefault="005F4593" w:rsidP="005F4593">
      <w:pPr>
        <w:spacing w:after="0" w:line="240" w:lineRule="auto"/>
        <w:ind w:left="284"/>
        <w:rPr>
          <w:sz w:val="20"/>
        </w:rPr>
      </w:pPr>
      <w:r>
        <w:rPr>
          <w:sz w:val="20"/>
        </w:rPr>
        <w:t>Ostkirche(n)</w:t>
      </w:r>
    </w:p>
    <w:p w14:paraId="087161E4" w14:textId="77777777" w:rsidR="005F4593" w:rsidRDefault="005F4593" w:rsidP="005F4593">
      <w:pPr>
        <w:spacing w:after="240" w:line="240" w:lineRule="auto"/>
        <w:ind w:left="284"/>
        <w:rPr>
          <w:sz w:val="20"/>
        </w:rPr>
      </w:pPr>
      <w:r>
        <w:rPr>
          <w:sz w:val="20"/>
        </w:rPr>
        <w:t>Reformation</w:t>
      </w:r>
    </w:p>
    <w:p w14:paraId="3257DBC8" w14:textId="0591BEFE" w:rsidR="00A024B5" w:rsidRDefault="00A024B5" w:rsidP="00A024B5">
      <w:pPr>
        <w:pStyle w:val="Untertitel"/>
        <w:rPr>
          <w:rFonts w:eastAsia="Calibri"/>
        </w:rPr>
      </w:pPr>
      <w:r>
        <w:rPr>
          <w:rFonts w:eastAsia="Calibri"/>
        </w:rPr>
        <w:t>Die christlichen Konfessionen</w:t>
      </w:r>
    </w:p>
    <w:p w14:paraId="6F976696" w14:textId="77777777" w:rsidR="00A024B5" w:rsidRPr="00071438" w:rsidRDefault="00A024B5" w:rsidP="00A024B5">
      <w:pPr>
        <w:pStyle w:val="berschrift1"/>
        <w:ind w:left="431" w:hanging="431"/>
      </w:pPr>
      <w:bookmarkStart w:id="0" w:name="_Toc288242412"/>
      <w:bookmarkStart w:id="1" w:name="_Toc289621003"/>
      <w:bookmarkStart w:id="2" w:name="_Toc290007711"/>
      <w:bookmarkStart w:id="3" w:name="_Toc290185874"/>
      <w:bookmarkStart w:id="4" w:name="_Toc290188896"/>
      <w:bookmarkStart w:id="5" w:name="_Toc290189052"/>
      <w:bookmarkStart w:id="6" w:name="_Toc290213392"/>
      <w:bookmarkStart w:id="7" w:name="_Toc290226063"/>
      <w:bookmarkStart w:id="8" w:name="_Ref291532949"/>
      <w:bookmarkStart w:id="9" w:name="_Ref291532958"/>
      <w:bookmarkStart w:id="10" w:name="_Toc291538032"/>
      <w:bookmarkStart w:id="11" w:name="_Toc291538636"/>
      <w:bookmarkStart w:id="12" w:name="_Toc291567526"/>
      <w:bookmarkStart w:id="13" w:name="_Toc291590370"/>
      <w:bookmarkStart w:id="14" w:name="_Toc291670726"/>
      <w:bookmarkStart w:id="15" w:name="_Toc291670885"/>
      <w:bookmarkStart w:id="16" w:name="_Toc291671050"/>
      <w:bookmarkStart w:id="17" w:name="_Toc291671221"/>
      <w:bookmarkStart w:id="18" w:name="_Ref292364578"/>
      <w:bookmarkStart w:id="19" w:name="_Ref292364585"/>
      <w:bookmarkStart w:id="20" w:name="_Toc292432139"/>
      <w:bookmarkStart w:id="21" w:name="_Toc292773495"/>
      <w:bookmarkStart w:id="22" w:name="_Toc292773658"/>
      <w:bookmarkStart w:id="23" w:name="_Toc292773842"/>
      <w:bookmarkStart w:id="24" w:name="_Toc293232463"/>
      <w:bookmarkStart w:id="25" w:name="_Toc293236588"/>
      <w:r w:rsidRPr="00071438">
        <w:t>Einheit und Verschiedenheit im ursprünglichen und frühen Christentum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E478E04" w14:textId="77777777" w:rsidR="00A024B5" w:rsidRPr="00071438" w:rsidRDefault="00A024B5" w:rsidP="00A024B5">
      <w:pPr>
        <w:pStyle w:val="margrechts"/>
        <w:framePr w:wrap="around"/>
      </w:pPr>
      <w:r w:rsidRPr="00071438">
        <w:t>Lebenspraktische und glaubensgeschichtliche Unterschiede der frühen Christen bedingen u.a. die Gliederung der Jerusalemer Urgemeinde in ‚Hebräer‘ und ‚Hellenisten‘.</w:t>
      </w:r>
    </w:p>
    <w:p w14:paraId="3A1FFD4E" w14:textId="77777777" w:rsidR="00A024B5" w:rsidRPr="00071438" w:rsidRDefault="00A024B5" w:rsidP="00A024B5">
      <w:pPr>
        <w:pStyle w:val="margrechts"/>
        <w:framePr w:wrap="around"/>
      </w:pPr>
    </w:p>
    <w:p w14:paraId="7845689B" w14:textId="77777777" w:rsidR="00A024B5" w:rsidRPr="00071438" w:rsidRDefault="00A024B5" w:rsidP="00A024B5">
      <w:pPr>
        <w:pStyle w:val="margrechts"/>
        <w:framePr w:wrap="around"/>
      </w:pPr>
      <w:r w:rsidRPr="00071438">
        <w:t>Das Entstehen von Christen-Gemeinden außerhalb Jerusalems bedingt die Frage, ob auch unter Nichtjuden (‚Heiden‘) missioniert werden soll?</w:t>
      </w:r>
    </w:p>
    <w:p w14:paraId="19CB0942" w14:textId="158ACBEF" w:rsidR="00A024B5" w:rsidRPr="00071438" w:rsidRDefault="00A024B5" w:rsidP="00A024B5">
      <w:pPr>
        <w:pStyle w:val="Listenfortsetzung3"/>
        <w:spacing w:after="200"/>
        <w:ind w:left="0" w:right="2041"/>
        <w:contextualSpacing w:val="0"/>
        <w:rPr>
          <w:szCs w:val="24"/>
        </w:rPr>
      </w:pPr>
      <w:r w:rsidRPr="00071438">
        <w:rPr>
          <w:szCs w:val="24"/>
        </w:rPr>
        <w:t>In den ersten Jahrzehnten seiner Geschichte hat es innerhalb des Christentums jene institutionelle</w:t>
      </w:r>
      <w:r w:rsidR="000253F0">
        <w:rPr>
          <w:szCs w:val="24"/>
        </w:rPr>
        <w:t>n</w:t>
      </w:r>
      <w:r w:rsidRPr="00071438">
        <w:rPr>
          <w:szCs w:val="24"/>
        </w:rPr>
        <w:t xml:space="preserve"> Trennungen noch nicht gegeben, die wir heute kennen und in der Rede von den verschiedenen christlichen ‚Konfessionen‘ und ‚Kirchen‘ wie selbstverständlich anführen. Wohl aber gab es unter den frühen Christen lebenspraktische und glaubensgeschichtliche Unterschiede – Verschiedenheiten, von denen auch schon die Texte des Neuen Testamentes berichten, etwa in verschiedenen Dialogen Jesu mit seinen Jüngern. In den Jahren nach dem Tod Jesu hatten sich diese und andere Verschiedenheiten weiterentwickelt, etwa in </w:t>
      </w:r>
      <w:r w:rsidR="000253F0">
        <w:rPr>
          <w:szCs w:val="24"/>
        </w:rPr>
        <w:t>der</w:t>
      </w:r>
      <w:r w:rsidRPr="00071438">
        <w:rPr>
          <w:szCs w:val="24"/>
        </w:rPr>
        <w:t xml:space="preserve"> Gliederung der Jerusalemer Urgemeinde in ‚Hebräer‘, also Judenchristen aus Palästina, und ‚Hellenisten‘, also griechisch sprechende Judenchristen, etwa aus Ägypten und Syrien. Diese zunächst </w:t>
      </w:r>
      <w:r w:rsidRPr="00071438">
        <w:rPr>
          <w:i/>
          <w:szCs w:val="24"/>
        </w:rPr>
        <w:t>inner</w:t>
      </w:r>
      <w:r w:rsidRPr="00071438">
        <w:rPr>
          <w:szCs w:val="24"/>
        </w:rPr>
        <w:t xml:space="preserve">gemeindlichen Unterschiede führten mit dem </w:t>
      </w:r>
      <w:r w:rsidR="000253F0">
        <w:rPr>
          <w:szCs w:val="24"/>
        </w:rPr>
        <w:t xml:space="preserve">langsamen </w:t>
      </w:r>
      <w:r w:rsidRPr="00071438">
        <w:rPr>
          <w:szCs w:val="24"/>
        </w:rPr>
        <w:t xml:space="preserve">Entstehen von Christen-Gemeinden auch außerhalb Jerusalems zu Unterscheidungen </w:t>
      </w:r>
      <w:r w:rsidRPr="00071438">
        <w:rPr>
          <w:i/>
          <w:szCs w:val="24"/>
        </w:rPr>
        <w:t>zwischen</w:t>
      </w:r>
      <w:r w:rsidRPr="00071438">
        <w:rPr>
          <w:szCs w:val="24"/>
        </w:rPr>
        <w:t xml:space="preserve"> den nun neu etablierten Gemeinden: Einerseits jene Gemeinden, die sich auf die Jerusalemer Urgemeinde bezogen und nur unter Juden missionierten, andererseits Gemeinden, die von der Gemeinde in Antiochien</w:t>
      </w:r>
      <w:r w:rsidRPr="00071438">
        <w:rPr>
          <w:rStyle w:val="Funotenzeichen"/>
          <w:szCs w:val="24"/>
        </w:rPr>
        <w:footnoteReference w:id="1"/>
      </w:r>
      <w:r w:rsidRPr="00071438">
        <w:rPr>
          <w:szCs w:val="24"/>
        </w:rPr>
        <w:t xml:space="preserve"> ausgingen und sowohl unter Juden als auch Nichtjuden (‚Heiden‘) missionierten.</w:t>
      </w:r>
    </w:p>
    <w:p w14:paraId="1D2EE1B3" w14:textId="77777777" w:rsidR="00A024B5" w:rsidRPr="00071438" w:rsidRDefault="00A024B5" w:rsidP="00A024B5">
      <w:pPr>
        <w:pStyle w:val="margrechts"/>
        <w:framePr w:wrap="around"/>
      </w:pPr>
      <w:r w:rsidRPr="00071438">
        <w:t xml:space="preserve">70-635 u.Z.: Die (rein) judenchristlichen Gemeinden leben getrennt von der Großkirche des römischen Reiches. Ihr religiöser Deutungsansatz: Adoptianismus. </w:t>
      </w:r>
    </w:p>
    <w:p w14:paraId="2A9556C3" w14:textId="77777777" w:rsidR="00A024B5" w:rsidRPr="00071438" w:rsidRDefault="00A024B5" w:rsidP="00A024B5">
      <w:pPr>
        <w:pStyle w:val="Textkrper-Erstzeileneinzug"/>
        <w:spacing w:after="200" w:line="360" w:lineRule="auto"/>
        <w:ind w:right="2041" w:firstLine="567"/>
        <w:jc w:val="both"/>
        <w:rPr>
          <w:rFonts w:ascii="Times New Roman" w:hAnsi="Times New Roman"/>
          <w:sz w:val="24"/>
          <w:szCs w:val="24"/>
        </w:rPr>
      </w:pPr>
      <w:r w:rsidRPr="00071438">
        <w:rPr>
          <w:rFonts w:ascii="Times New Roman" w:hAnsi="Times New Roman"/>
          <w:sz w:val="24"/>
          <w:szCs w:val="24"/>
        </w:rPr>
        <w:t xml:space="preserve">Nachdem im Jahr 70 u.Z. Jerusalem durch die Römer zerstört worden war, führten die (rein) judenchristlichen Gemeinden ein von der Großkirche des römischen Reiches getrenntes Leben. Theologischer </w:t>
      </w:r>
      <w:r w:rsidRPr="00071438">
        <w:rPr>
          <w:rFonts w:ascii="Times New Roman" w:hAnsi="Times New Roman"/>
          <w:sz w:val="24"/>
          <w:szCs w:val="24"/>
        </w:rPr>
        <w:lastRenderedPageBreak/>
        <w:t>Schwerpunkt dieser Gemeinden war der sogen. Adoptianismus und damit die Betonung der Menschlichkeit Jesu: Jesus (seine ‚Natur‘) sei zunächst menschlich gewesen und sei dann aufgrund seines Lebens von Gott (Gott-Vater) als Sohn (als göttlich) angenommen, vo</w:t>
      </w:r>
      <w:r>
        <w:rPr>
          <w:rFonts w:ascii="Times New Roman" w:hAnsi="Times New Roman"/>
          <w:sz w:val="24"/>
          <w:szCs w:val="24"/>
        </w:rPr>
        <w:t xml:space="preserve">n ihm also ‚adoptiert‘ worden. </w:t>
      </w:r>
      <w:r w:rsidRPr="00071438">
        <w:rPr>
          <w:rFonts w:ascii="Times New Roman" w:hAnsi="Times New Roman"/>
          <w:sz w:val="24"/>
          <w:szCs w:val="24"/>
        </w:rPr>
        <w:t>Diese rein judenchristlichen Gemeinden lösten sich mit dem Einfall der arabischen Muslime in Palästina auf (635 u.Z.).</w:t>
      </w:r>
      <w:r w:rsidRPr="00071438">
        <w:rPr>
          <w:rStyle w:val="Funotenzeichen"/>
          <w:rFonts w:ascii="Times New Roman" w:hAnsi="Times New Roman"/>
          <w:sz w:val="24"/>
          <w:szCs w:val="24"/>
        </w:rPr>
        <w:footnoteReference w:id="2"/>
      </w:r>
    </w:p>
    <w:p w14:paraId="3E2E3C4C" w14:textId="77777777" w:rsidR="00A024B5" w:rsidRPr="00071438" w:rsidRDefault="00A024B5" w:rsidP="00A024B5">
      <w:pPr>
        <w:pStyle w:val="margrechts"/>
        <w:framePr w:wrap="around"/>
      </w:pPr>
      <w:r w:rsidRPr="00071438">
        <w:t>Streit der Gemeinden in Jerusalem und Antiochien: Kann man Christ werden, ohne vorher Jude gewesen zu sein?</w:t>
      </w:r>
    </w:p>
    <w:p w14:paraId="0ECC1810" w14:textId="77777777" w:rsidR="00A024B5" w:rsidRPr="00071438" w:rsidRDefault="00A024B5" w:rsidP="00A024B5">
      <w:pPr>
        <w:pStyle w:val="margrechts"/>
        <w:framePr w:wrap="around"/>
      </w:pPr>
    </w:p>
    <w:p w14:paraId="46C3D93B" w14:textId="77777777" w:rsidR="00A024B5" w:rsidRPr="00A024B5" w:rsidRDefault="00A024B5" w:rsidP="00A024B5">
      <w:pPr>
        <w:pStyle w:val="margrechts"/>
        <w:framePr w:wrap="around"/>
        <w:rPr>
          <w:lang w:val="da-DK"/>
        </w:rPr>
      </w:pPr>
      <w:r w:rsidRPr="00A024B5">
        <w:rPr>
          <w:lang w:val="da-DK"/>
        </w:rPr>
        <w:t>48 u.Z.: Jerusalemer Apostelkonvent (‚Apostelkonzil‘).</w:t>
      </w:r>
    </w:p>
    <w:p w14:paraId="627187D8" w14:textId="514838F4" w:rsidR="00A024B5" w:rsidRPr="00071438" w:rsidRDefault="00A024B5" w:rsidP="00A024B5">
      <w:pPr>
        <w:pStyle w:val="Textkrper-Erstzeileneinzug"/>
        <w:spacing w:after="200" w:line="360" w:lineRule="auto"/>
        <w:ind w:right="2041" w:firstLine="567"/>
        <w:jc w:val="both"/>
        <w:rPr>
          <w:rFonts w:ascii="Times New Roman" w:hAnsi="Times New Roman"/>
          <w:sz w:val="24"/>
          <w:szCs w:val="24"/>
        </w:rPr>
      </w:pPr>
      <w:r>
        <w:rPr>
          <w:rFonts w:ascii="Times New Roman" w:hAnsi="Times New Roman"/>
          <w:sz w:val="24"/>
          <w:szCs w:val="24"/>
        </w:rPr>
        <w:t>In früher, neutestamentlicher Zeit (48 u.Z.) stritten d</w:t>
      </w:r>
      <w:r w:rsidRPr="00071438">
        <w:rPr>
          <w:rFonts w:ascii="Times New Roman" w:hAnsi="Times New Roman"/>
          <w:sz w:val="24"/>
          <w:szCs w:val="24"/>
        </w:rPr>
        <w:t>ie Jerusalemer Gemeinde und die Gemeinde in Antio</w:t>
      </w:r>
      <w:r>
        <w:rPr>
          <w:rFonts w:ascii="Times New Roman" w:hAnsi="Times New Roman"/>
          <w:sz w:val="24"/>
          <w:szCs w:val="24"/>
        </w:rPr>
        <w:t xml:space="preserve">chien </w:t>
      </w:r>
      <w:r w:rsidRPr="00071438">
        <w:rPr>
          <w:rFonts w:ascii="Times New Roman" w:hAnsi="Times New Roman"/>
          <w:sz w:val="24"/>
          <w:szCs w:val="24"/>
        </w:rPr>
        <w:t xml:space="preserve">miteinander, ob Heiden (also Nicht-Juden), die sich zu Christus bekannten und daher die Taufe begehrten, vorher Juden werden müssen und </w:t>
      </w:r>
      <w:r>
        <w:rPr>
          <w:rFonts w:ascii="Times New Roman" w:hAnsi="Times New Roman"/>
          <w:sz w:val="24"/>
          <w:szCs w:val="24"/>
        </w:rPr>
        <w:t>also</w:t>
      </w:r>
      <w:r w:rsidRPr="00071438">
        <w:rPr>
          <w:rFonts w:ascii="Times New Roman" w:hAnsi="Times New Roman"/>
          <w:sz w:val="24"/>
          <w:szCs w:val="24"/>
        </w:rPr>
        <w:t xml:space="preserve"> verpflichtet </w:t>
      </w:r>
      <w:r w:rsidR="000253F0">
        <w:rPr>
          <w:rFonts w:ascii="Times New Roman" w:hAnsi="Times New Roman"/>
          <w:sz w:val="24"/>
          <w:szCs w:val="24"/>
        </w:rPr>
        <w:t>sind</w:t>
      </w:r>
      <w:r w:rsidRPr="00071438">
        <w:rPr>
          <w:rFonts w:ascii="Times New Roman" w:hAnsi="Times New Roman"/>
          <w:sz w:val="24"/>
          <w:szCs w:val="24"/>
        </w:rPr>
        <w:t>, die jüdischen Gesetze zu halten. Im Hintergrund dieser Auseinandersetzung ging es um die Frage der Verhältnis</w:t>
      </w:r>
      <w:r>
        <w:rPr>
          <w:rFonts w:ascii="Times New Roman" w:hAnsi="Times New Roman"/>
          <w:sz w:val="24"/>
          <w:szCs w:val="24"/>
        </w:rPr>
        <w:t xml:space="preserve">bestimmung </w:t>
      </w:r>
      <w:r w:rsidRPr="00071438">
        <w:rPr>
          <w:rFonts w:ascii="Times New Roman" w:hAnsi="Times New Roman"/>
          <w:sz w:val="24"/>
          <w:szCs w:val="24"/>
        </w:rPr>
        <w:t>zwischen altem Gottesvolk (‚Juden‘) und neuem Gottesvolk (‚Christen‘), zwischen der geschichtlichen Offenbarung Gotte</w:t>
      </w:r>
      <w:r>
        <w:rPr>
          <w:rFonts w:ascii="Times New Roman" w:hAnsi="Times New Roman"/>
          <w:sz w:val="24"/>
          <w:szCs w:val="24"/>
        </w:rPr>
        <w:t xml:space="preserve">s durch Mose und die Propheten </w:t>
      </w:r>
      <w:r w:rsidRPr="00071438">
        <w:rPr>
          <w:rFonts w:ascii="Times New Roman" w:hAnsi="Times New Roman"/>
          <w:sz w:val="24"/>
          <w:szCs w:val="24"/>
        </w:rPr>
        <w:t>einerseits und der ebenso geschichtlichen Offenbarung Gottes in Jesus Christus andererseits, in dessen Geburt, Leben, Tod und Auferstehung ‚das Heil liege‘. Ist nur derjenige ein Christ, der sich an die kultische</w:t>
      </w:r>
      <w:r w:rsidR="000253F0">
        <w:rPr>
          <w:rFonts w:ascii="Times New Roman" w:hAnsi="Times New Roman"/>
          <w:sz w:val="24"/>
          <w:szCs w:val="24"/>
        </w:rPr>
        <w:t>n</w:t>
      </w:r>
      <w:r w:rsidRPr="00071438">
        <w:rPr>
          <w:rFonts w:ascii="Times New Roman" w:hAnsi="Times New Roman"/>
          <w:sz w:val="24"/>
          <w:szCs w:val="24"/>
        </w:rPr>
        <w:t xml:space="preserve"> Vorschriften der Juden (Beschneidung, Speisegebote, Sabbatgestaltung</w:t>
      </w:r>
      <w:r w:rsidR="000253F0">
        <w:rPr>
          <w:rFonts w:ascii="Times New Roman" w:hAnsi="Times New Roman"/>
          <w:sz w:val="24"/>
          <w:szCs w:val="24"/>
        </w:rPr>
        <w:t>, …</w:t>
      </w:r>
      <w:r w:rsidRPr="00071438">
        <w:rPr>
          <w:rFonts w:ascii="Times New Roman" w:hAnsi="Times New Roman"/>
          <w:sz w:val="24"/>
          <w:szCs w:val="24"/>
        </w:rPr>
        <w:t xml:space="preserve">) hält? Oder ist </w:t>
      </w:r>
      <w:r>
        <w:rPr>
          <w:rFonts w:ascii="Times New Roman" w:hAnsi="Times New Roman"/>
          <w:sz w:val="24"/>
          <w:szCs w:val="24"/>
        </w:rPr>
        <w:t>ein</w:t>
      </w:r>
      <w:r w:rsidRPr="00071438">
        <w:rPr>
          <w:rFonts w:ascii="Times New Roman" w:hAnsi="Times New Roman"/>
          <w:sz w:val="24"/>
          <w:szCs w:val="24"/>
        </w:rPr>
        <w:t xml:space="preserve"> Christ hiervon befreit dadurch, dass er sein Leben bindet an die von Jesus vorgelebte Gottes- und Nächstenliebe und an die Auferweckungsbotschaft (‚Der Herr ist auferstanden‘)? Im Jahr 48 u.Z. kam es hier zu einer Einigung auf dem Jerusalemer Apostelkonvent (‚Apostelkonzil‘; vgl. Apostelgeschichte im NT): Beide Seiten sprachen sich zu, ganz und authentisch Christen zu sein, in unauflöslicher Kirchengemeinschaft.</w:t>
      </w:r>
    </w:p>
    <w:p w14:paraId="38755A63" w14:textId="77777777" w:rsidR="00A024B5" w:rsidRPr="00071438" w:rsidRDefault="00A024B5" w:rsidP="00A024B5">
      <w:pPr>
        <w:pStyle w:val="berschrift1"/>
        <w:ind w:left="431" w:hanging="431"/>
      </w:pPr>
      <w:r w:rsidRPr="00071438">
        <w:br w:type="column"/>
      </w:r>
      <w:bookmarkStart w:id="26" w:name="_Toc288242413"/>
      <w:bookmarkStart w:id="27" w:name="_Ref289613429"/>
      <w:bookmarkStart w:id="28" w:name="_Ref289613437"/>
      <w:bookmarkStart w:id="29" w:name="_Toc289621004"/>
      <w:bookmarkStart w:id="30" w:name="_Toc290007712"/>
      <w:bookmarkStart w:id="31" w:name="_Toc290185875"/>
      <w:bookmarkStart w:id="32" w:name="_Toc290188897"/>
      <w:bookmarkStart w:id="33" w:name="_Toc290189053"/>
      <w:bookmarkStart w:id="34" w:name="_Toc290213393"/>
      <w:bookmarkStart w:id="35" w:name="_Toc290226064"/>
      <w:bookmarkStart w:id="36" w:name="_Ref291492817"/>
      <w:bookmarkStart w:id="37" w:name="_Ref291492823"/>
      <w:bookmarkStart w:id="38" w:name="_Toc291538033"/>
      <w:bookmarkStart w:id="39" w:name="_Toc291538637"/>
      <w:bookmarkStart w:id="40" w:name="_Toc291567527"/>
      <w:bookmarkStart w:id="41" w:name="_Toc291590371"/>
      <w:bookmarkStart w:id="42" w:name="_Toc291670727"/>
      <w:bookmarkStart w:id="43" w:name="_Toc291670886"/>
      <w:bookmarkStart w:id="44" w:name="_Toc291671051"/>
      <w:bookmarkStart w:id="45" w:name="_Toc291671222"/>
      <w:bookmarkStart w:id="46" w:name="_Ref291677177"/>
      <w:bookmarkStart w:id="47" w:name="_Toc292432140"/>
      <w:bookmarkStart w:id="48" w:name="_Toc292773496"/>
      <w:bookmarkStart w:id="49" w:name="_Toc292773659"/>
      <w:bookmarkStart w:id="50" w:name="_Toc292773843"/>
      <w:bookmarkStart w:id="51" w:name="_Toc293232464"/>
      <w:bookmarkStart w:id="52" w:name="_Toc293236589"/>
      <w:r w:rsidRPr="00071438">
        <w:lastRenderedPageBreak/>
        <w:t>Verselbstständigung einzelner christlicher Bekenntnisgemeinschaften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919578B" w14:textId="77777777" w:rsidR="00A024B5" w:rsidRPr="00071438" w:rsidRDefault="00A024B5" w:rsidP="00A024B5">
      <w:pPr>
        <w:pStyle w:val="Textkrper-Erstzeileneinzug2"/>
        <w:pBdr>
          <w:top w:val="single" w:sz="4" w:space="1" w:color="auto"/>
          <w:left w:val="single" w:sz="4" w:space="4" w:color="auto"/>
          <w:bottom w:val="single" w:sz="4" w:space="1" w:color="auto"/>
          <w:right w:val="single" w:sz="4" w:space="4" w:color="auto"/>
        </w:pBdr>
        <w:spacing w:line="360" w:lineRule="auto"/>
        <w:ind w:right="567"/>
        <w:jc w:val="center"/>
        <w:rPr>
          <w:rFonts w:ascii="Times New Roman" w:hAnsi="Times New Roman"/>
          <w:b/>
          <w:szCs w:val="24"/>
        </w:rPr>
      </w:pPr>
      <w:bookmarkStart w:id="53" w:name="OLE_LINK3"/>
      <w:bookmarkStart w:id="54" w:name="OLE_LINK4"/>
      <w:r w:rsidRPr="00071438">
        <w:rPr>
          <w:rFonts w:ascii="Times New Roman" w:hAnsi="Times New Roman"/>
          <w:b/>
          <w:szCs w:val="24"/>
        </w:rPr>
        <w:t>431: Trennung der Großkirche von den Nestorianern</w:t>
      </w:r>
    </w:p>
    <w:p w14:paraId="2C401F3A" w14:textId="77777777" w:rsidR="00A024B5" w:rsidRPr="00071438" w:rsidRDefault="00A024B5" w:rsidP="00A024B5">
      <w:pPr>
        <w:pStyle w:val="Listenabsatz"/>
        <w:numPr>
          <w:ilvl w:val="0"/>
          <w:numId w:val="10"/>
        </w:numPr>
        <w:spacing w:after="0"/>
        <w:ind w:left="907" w:right="567" w:hanging="357"/>
        <w:contextualSpacing w:val="0"/>
        <w:jc w:val="both"/>
        <w:rPr>
          <w:szCs w:val="24"/>
        </w:rPr>
      </w:pPr>
      <w:r w:rsidRPr="00071438">
        <w:rPr>
          <w:szCs w:val="24"/>
        </w:rPr>
        <w:t xml:space="preserve">Da das Konzil von Ephesus (431, ‚Drittes Ökumenisches Konzil‘) keine Einigung im </w:t>
      </w:r>
      <w:proofErr w:type="spellStart"/>
      <w:r w:rsidRPr="00071438">
        <w:rPr>
          <w:szCs w:val="24"/>
        </w:rPr>
        <w:t>Nestorianerstreit</w:t>
      </w:r>
      <w:proofErr w:type="spellEnd"/>
      <w:r w:rsidRPr="00071438">
        <w:rPr>
          <w:szCs w:val="24"/>
        </w:rPr>
        <w:t xml:space="preserve"> erzielen konnte, trennten sich die Nestorianer von der Großkirche.</w:t>
      </w:r>
    </w:p>
    <w:p w14:paraId="32FAC299" w14:textId="6602A4AE" w:rsidR="00A024B5" w:rsidRPr="00071438" w:rsidRDefault="00A024B5" w:rsidP="00A024B5">
      <w:pPr>
        <w:pStyle w:val="Listenabsatz"/>
        <w:numPr>
          <w:ilvl w:val="0"/>
          <w:numId w:val="10"/>
        </w:numPr>
        <w:spacing w:after="0"/>
        <w:ind w:left="907" w:right="567" w:hanging="357"/>
        <w:contextualSpacing w:val="0"/>
        <w:jc w:val="both"/>
        <w:rPr>
          <w:szCs w:val="24"/>
        </w:rPr>
      </w:pPr>
      <w:r w:rsidRPr="00071438">
        <w:rPr>
          <w:szCs w:val="24"/>
        </w:rPr>
        <w:t>Inhaltlicher (‚theologischer‘) Unterschied zur Großkirche: Die Nestorianer</w:t>
      </w:r>
      <w:r w:rsidR="000253F0">
        <w:rPr>
          <w:szCs w:val="24"/>
        </w:rPr>
        <w:t>…</w:t>
      </w:r>
    </w:p>
    <w:p w14:paraId="590828D8" w14:textId="109BCDE5" w:rsidR="00A024B5" w:rsidRPr="00071438" w:rsidRDefault="00A024B5" w:rsidP="00A024B5">
      <w:pPr>
        <w:pStyle w:val="Listenabsatz"/>
        <w:numPr>
          <w:ilvl w:val="0"/>
          <w:numId w:val="11"/>
        </w:numPr>
        <w:spacing w:after="0"/>
        <w:ind w:left="1587" w:right="567" w:hanging="357"/>
        <w:contextualSpacing w:val="0"/>
        <w:jc w:val="both"/>
        <w:rPr>
          <w:szCs w:val="24"/>
        </w:rPr>
      </w:pPr>
      <w:r w:rsidRPr="00071438">
        <w:rPr>
          <w:szCs w:val="24"/>
        </w:rPr>
        <w:t>unterscheiden streng zwischen der menschlichen und der göttlichen Seite (‚Natur‘) in Jesus Christus und betonten sein Menschsein</w:t>
      </w:r>
      <w:r w:rsidR="000253F0">
        <w:rPr>
          <w:szCs w:val="24"/>
        </w:rPr>
        <w:t>.</w:t>
      </w:r>
    </w:p>
    <w:p w14:paraId="2913C854" w14:textId="5ABDB96A" w:rsidR="00A024B5" w:rsidRPr="00071438" w:rsidRDefault="00A024B5" w:rsidP="00A024B5">
      <w:pPr>
        <w:pStyle w:val="Listenabsatz"/>
        <w:numPr>
          <w:ilvl w:val="0"/>
          <w:numId w:val="11"/>
        </w:numPr>
        <w:spacing w:after="0"/>
        <w:ind w:left="1587" w:right="567" w:hanging="357"/>
        <w:contextualSpacing w:val="0"/>
        <w:jc w:val="both"/>
        <w:rPr>
          <w:szCs w:val="24"/>
        </w:rPr>
      </w:pPr>
      <w:r w:rsidRPr="00071438">
        <w:rPr>
          <w:szCs w:val="24"/>
        </w:rPr>
        <w:t>Maria wird daher als Mutter Jesu, nicht aber als Gottesmutter bezeichnet und verehrt</w:t>
      </w:r>
      <w:r w:rsidR="000253F0">
        <w:rPr>
          <w:szCs w:val="24"/>
        </w:rPr>
        <w:t>.</w:t>
      </w:r>
    </w:p>
    <w:p w14:paraId="76F8FA88" w14:textId="77777777" w:rsidR="00A024B5" w:rsidRPr="00071438" w:rsidRDefault="00A024B5" w:rsidP="00A024B5">
      <w:pPr>
        <w:pStyle w:val="Textkrper-Erstzeileneinzug2"/>
        <w:pBdr>
          <w:top w:val="single" w:sz="4" w:space="1" w:color="auto"/>
          <w:left w:val="single" w:sz="4" w:space="4" w:color="auto"/>
          <w:bottom w:val="single" w:sz="4" w:space="1" w:color="auto"/>
          <w:right w:val="single" w:sz="4" w:space="4" w:color="auto"/>
        </w:pBdr>
        <w:spacing w:before="480" w:line="360" w:lineRule="auto"/>
        <w:ind w:left="284" w:right="567"/>
        <w:jc w:val="center"/>
        <w:rPr>
          <w:rFonts w:ascii="Times New Roman" w:hAnsi="Times New Roman"/>
          <w:b/>
          <w:szCs w:val="24"/>
        </w:rPr>
      </w:pPr>
      <w:r w:rsidRPr="00071438">
        <w:rPr>
          <w:rFonts w:ascii="Times New Roman" w:hAnsi="Times New Roman"/>
          <w:b/>
          <w:szCs w:val="24"/>
        </w:rPr>
        <w:t>451: Trennung von der Großkirche von den Monophysiten</w:t>
      </w:r>
    </w:p>
    <w:p w14:paraId="48B02034" w14:textId="77777777" w:rsidR="00A024B5" w:rsidRPr="00071438" w:rsidRDefault="00A024B5" w:rsidP="00A024B5">
      <w:pPr>
        <w:pStyle w:val="Listenabsatz"/>
        <w:numPr>
          <w:ilvl w:val="0"/>
          <w:numId w:val="12"/>
        </w:numPr>
        <w:spacing w:after="0"/>
        <w:ind w:left="907" w:right="567" w:hanging="357"/>
        <w:contextualSpacing w:val="0"/>
        <w:jc w:val="both"/>
        <w:rPr>
          <w:szCs w:val="24"/>
        </w:rPr>
      </w:pPr>
      <w:r w:rsidRPr="00071438">
        <w:rPr>
          <w:szCs w:val="24"/>
        </w:rPr>
        <w:t>Da das Konzil von Chalkedon (451; ‚Viertes Ökumenisches Konzil‘) keine Einigung im Monophysismusstreit erzielen konnte, lösten sich die Monophysiten von der Großkirche</w:t>
      </w:r>
    </w:p>
    <w:p w14:paraId="27D03AD7" w14:textId="11F00FAC" w:rsidR="00A024B5" w:rsidRPr="00071438" w:rsidRDefault="00A024B5" w:rsidP="00A024B5">
      <w:pPr>
        <w:pStyle w:val="Listenabsatz"/>
        <w:numPr>
          <w:ilvl w:val="0"/>
          <w:numId w:val="12"/>
        </w:numPr>
        <w:spacing w:after="0"/>
        <w:ind w:left="907" w:right="567" w:hanging="357"/>
        <w:contextualSpacing w:val="0"/>
        <w:jc w:val="both"/>
        <w:rPr>
          <w:szCs w:val="24"/>
        </w:rPr>
      </w:pPr>
      <w:r w:rsidRPr="00071438">
        <w:rPr>
          <w:szCs w:val="24"/>
        </w:rPr>
        <w:t>Inhaltlicher (religiös-deutender) Unterschied zur Großkirche: Die Monophysiten</w:t>
      </w:r>
      <w:r w:rsidR="000253F0">
        <w:rPr>
          <w:szCs w:val="24"/>
        </w:rPr>
        <w:t>…</w:t>
      </w:r>
    </w:p>
    <w:p w14:paraId="7A6E1CAC" w14:textId="3179767A" w:rsidR="00A024B5" w:rsidRPr="00071438" w:rsidRDefault="00A024B5" w:rsidP="00A024B5">
      <w:pPr>
        <w:pStyle w:val="Listenabsatz"/>
        <w:numPr>
          <w:ilvl w:val="0"/>
          <w:numId w:val="13"/>
        </w:numPr>
        <w:spacing w:after="0"/>
        <w:ind w:left="1587" w:right="567" w:hanging="357"/>
        <w:contextualSpacing w:val="0"/>
        <w:jc w:val="both"/>
        <w:rPr>
          <w:szCs w:val="24"/>
        </w:rPr>
      </w:pPr>
      <w:r w:rsidRPr="00071438">
        <w:rPr>
          <w:szCs w:val="24"/>
        </w:rPr>
        <w:t>behaupten, dass Jesus Christus nur eine, nämlich eine göttliche Seite (‚Natur‘) ist und hat: Der Mensch Jesus ist Gott</w:t>
      </w:r>
      <w:r w:rsidR="000253F0">
        <w:rPr>
          <w:szCs w:val="24"/>
        </w:rPr>
        <w:t>.</w:t>
      </w:r>
    </w:p>
    <w:p w14:paraId="6D4EF921" w14:textId="77777777" w:rsidR="00A024B5" w:rsidRPr="00071438" w:rsidRDefault="00A024B5" w:rsidP="00A024B5">
      <w:pPr>
        <w:pStyle w:val="Listenabsatz"/>
        <w:numPr>
          <w:ilvl w:val="0"/>
          <w:numId w:val="13"/>
        </w:numPr>
        <w:spacing w:after="0"/>
        <w:ind w:left="1587" w:right="567" w:hanging="357"/>
        <w:contextualSpacing w:val="0"/>
        <w:jc w:val="both"/>
        <w:rPr>
          <w:szCs w:val="24"/>
        </w:rPr>
      </w:pPr>
      <w:r w:rsidRPr="00071438">
        <w:rPr>
          <w:szCs w:val="24"/>
        </w:rPr>
        <w:t>verwenden hierfür als Hauptargument: Nur ein Gott kann den (sündigen) Menschen erlösen, nämlich von der Erbsünde</w:t>
      </w:r>
    </w:p>
    <w:p w14:paraId="09B85091" w14:textId="1C068E6B" w:rsidR="00A024B5" w:rsidRPr="000253F0" w:rsidRDefault="00A024B5" w:rsidP="00A024B5">
      <w:pPr>
        <w:pStyle w:val="Aufzhlungszeichen2"/>
        <w:numPr>
          <w:ilvl w:val="0"/>
          <w:numId w:val="17"/>
        </w:numPr>
        <w:spacing w:after="0" w:line="360" w:lineRule="auto"/>
        <w:ind w:left="907" w:right="567"/>
        <w:jc w:val="both"/>
        <w:rPr>
          <w:rFonts w:ascii="Times New Roman" w:hAnsi="Times New Roman"/>
          <w:sz w:val="28"/>
          <w:szCs w:val="28"/>
        </w:rPr>
      </w:pPr>
      <w:r w:rsidRPr="000253F0">
        <w:rPr>
          <w:rFonts w:ascii="Times New Roman" w:hAnsi="Times New Roman"/>
          <w:sz w:val="28"/>
          <w:szCs w:val="28"/>
        </w:rPr>
        <w:t xml:space="preserve">Kern des Konzils von Chalkedon war die Formulierung des </w:t>
      </w:r>
      <w:r w:rsidRPr="000253F0">
        <w:rPr>
          <w:rFonts w:ascii="Times New Roman" w:hAnsi="Times New Roman"/>
          <w:i/>
          <w:sz w:val="28"/>
          <w:szCs w:val="28"/>
        </w:rPr>
        <w:t>einen</w:t>
      </w:r>
      <w:r w:rsidRPr="000253F0">
        <w:rPr>
          <w:rFonts w:ascii="Times New Roman" w:hAnsi="Times New Roman"/>
          <w:sz w:val="28"/>
          <w:szCs w:val="28"/>
        </w:rPr>
        <w:t xml:space="preserve"> zentralen Dogmas, das für alle Christen, egal welcher Konfessionen, normativ verbindlich und identitätsbildend werden sollte: Das ‚Christologische Dogma‘. Dieses besagt, dass in Christus zwei ‚Naturen‘, nämlich die menschliche und die göttliche, gegenwärtig </w:t>
      </w:r>
      <w:r w:rsidRPr="000253F0">
        <w:rPr>
          <w:rFonts w:ascii="Times New Roman" w:hAnsi="Times New Roman"/>
          <w:sz w:val="28"/>
          <w:szCs w:val="28"/>
        </w:rPr>
        <w:lastRenderedPageBreak/>
        <w:t>sind, und zwar in einer ‚Person‘ bzw. ‚Hypostase‘, jedoch sowohl ‚unvermischt als auch ungetrennt‘: Christus ist wesensgleich (‚</w:t>
      </w:r>
      <w:proofErr w:type="spellStart"/>
      <w:r w:rsidRPr="000253F0">
        <w:rPr>
          <w:rFonts w:ascii="Times New Roman" w:hAnsi="Times New Roman"/>
          <w:sz w:val="28"/>
          <w:szCs w:val="28"/>
        </w:rPr>
        <w:t>homoousios</w:t>
      </w:r>
      <w:proofErr w:type="spellEnd"/>
      <w:r w:rsidRPr="000253F0">
        <w:rPr>
          <w:rFonts w:ascii="Times New Roman" w:hAnsi="Times New Roman"/>
          <w:sz w:val="28"/>
          <w:szCs w:val="28"/>
        </w:rPr>
        <w:t>‘) Sohn Gottes und wesensgleich (‚</w:t>
      </w:r>
      <w:proofErr w:type="spellStart"/>
      <w:r w:rsidRPr="000253F0">
        <w:rPr>
          <w:rFonts w:ascii="Times New Roman" w:hAnsi="Times New Roman"/>
          <w:sz w:val="28"/>
          <w:szCs w:val="28"/>
        </w:rPr>
        <w:t>homoousios</w:t>
      </w:r>
      <w:proofErr w:type="spellEnd"/>
      <w:r w:rsidRPr="000253F0">
        <w:rPr>
          <w:rFonts w:ascii="Times New Roman" w:hAnsi="Times New Roman"/>
          <w:sz w:val="28"/>
          <w:szCs w:val="28"/>
        </w:rPr>
        <w:t xml:space="preserve">‘) Mensch. In diesen seinen zwei Naturen ist Christus aber einer, die eine Person bzw. Hypostase des </w:t>
      </w:r>
      <w:r w:rsidR="000253F0">
        <w:rPr>
          <w:rFonts w:ascii="Times New Roman" w:hAnsi="Times New Roman"/>
          <w:sz w:val="28"/>
          <w:szCs w:val="28"/>
        </w:rPr>
        <w:t xml:space="preserve">innergöttlichen </w:t>
      </w:r>
      <w:r w:rsidRPr="000253F0">
        <w:rPr>
          <w:rFonts w:ascii="Times New Roman" w:hAnsi="Times New Roman"/>
          <w:sz w:val="28"/>
          <w:szCs w:val="28"/>
        </w:rPr>
        <w:t>Logos (Trinität).</w:t>
      </w:r>
    </w:p>
    <w:bookmarkEnd w:id="53"/>
    <w:bookmarkEnd w:id="54"/>
    <w:p w14:paraId="7EF77B9A" w14:textId="77777777" w:rsidR="00A024B5" w:rsidRPr="00071438" w:rsidRDefault="00A024B5" w:rsidP="00A024B5">
      <w:pPr>
        <w:pStyle w:val="Textkrper"/>
        <w:pBdr>
          <w:top w:val="single" w:sz="4" w:space="1" w:color="auto"/>
          <w:left w:val="single" w:sz="4" w:space="4" w:color="auto"/>
          <w:bottom w:val="single" w:sz="4" w:space="1" w:color="auto"/>
          <w:right w:val="single" w:sz="4" w:space="4" w:color="auto"/>
        </w:pBdr>
        <w:spacing w:before="480" w:after="200" w:line="360" w:lineRule="auto"/>
        <w:ind w:left="284" w:right="567"/>
        <w:jc w:val="center"/>
        <w:rPr>
          <w:rFonts w:ascii="Times New Roman" w:hAnsi="Times New Roman"/>
          <w:b/>
          <w:szCs w:val="24"/>
        </w:rPr>
      </w:pPr>
      <w:r w:rsidRPr="00071438">
        <w:rPr>
          <w:rFonts w:ascii="Times New Roman" w:hAnsi="Times New Roman"/>
          <w:b/>
          <w:szCs w:val="24"/>
        </w:rPr>
        <w:t>1054: Trennung der Westkirche (Rom) von der Ostkirche (Konstantinopel) - Morgenländisches Schisma</w:t>
      </w:r>
    </w:p>
    <w:p w14:paraId="774DB43C" w14:textId="77777777" w:rsidR="00A024B5" w:rsidRPr="00071438" w:rsidRDefault="00A024B5" w:rsidP="00A024B5">
      <w:pPr>
        <w:numPr>
          <w:ilvl w:val="1"/>
          <w:numId w:val="18"/>
        </w:numPr>
        <w:spacing w:after="0"/>
        <w:ind w:left="1020" w:right="567"/>
        <w:rPr>
          <w:szCs w:val="24"/>
        </w:rPr>
      </w:pPr>
      <w:r w:rsidRPr="00071438">
        <w:rPr>
          <w:szCs w:val="24"/>
        </w:rPr>
        <w:t>Die vier alten Patriarchate (Konstantinopel (hat. Istanbul), Alexandrien, Antiochien, Jerusalem) und mehrere Nationalkirchen (z.B. Russland, Griechenland, Zypern)</w:t>
      </w:r>
    </w:p>
    <w:p w14:paraId="7B085436" w14:textId="77777777" w:rsidR="00A024B5" w:rsidRPr="00071438" w:rsidRDefault="00A024B5" w:rsidP="00A024B5">
      <w:pPr>
        <w:numPr>
          <w:ilvl w:val="1"/>
          <w:numId w:val="18"/>
        </w:numPr>
        <w:spacing w:after="0"/>
        <w:ind w:left="1020" w:right="567"/>
        <w:rPr>
          <w:szCs w:val="24"/>
        </w:rPr>
      </w:pPr>
      <w:r w:rsidRPr="00071438">
        <w:rPr>
          <w:szCs w:val="24"/>
        </w:rPr>
        <w:t>Grund der Trennung von Westkirche (römisch-katholisch):</w:t>
      </w:r>
    </w:p>
    <w:p w14:paraId="0993838C" w14:textId="77777777" w:rsidR="00A024B5" w:rsidRPr="00071438" w:rsidRDefault="00A024B5" w:rsidP="00A024B5">
      <w:pPr>
        <w:numPr>
          <w:ilvl w:val="2"/>
          <w:numId w:val="20"/>
        </w:numPr>
        <w:spacing w:after="0"/>
        <w:ind w:left="1814" w:right="567"/>
        <w:rPr>
          <w:szCs w:val="24"/>
        </w:rPr>
      </w:pPr>
      <w:r w:rsidRPr="00071438">
        <w:rPr>
          <w:szCs w:val="24"/>
        </w:rPr>
        <w:t>Trinitätstheologische Streitigkeiten über die göttliche Natur Christi</w:t>
      </w:r>
    </w:p>
    <w:p w14:paraId="7B2A42EF" w14:textId="77777777" w:rsidR="00A024B5" w:rsidRPr="00071438" w:rsidRDefault="00A024B5" w:rsidP="00A024B5">
      <w:pPr>
        <w:numPr>
          <w:ilvl w:val="2"/>
          <w:numId w:val="20"/>
        </w:numPr>
        <w:spacing w:after="0"/>
        <w:ind w:left="1814" w:right="567"/>
        <w:rPr>
          <w:szCs w:val="24"/>
        </w:rPr>
      </w:pPr>
      <w:r w:rsidRPr="00071438">
        <w:rPr>
          <w:szCs w:val="24"/>
        </w:rPr>
        <w:t>Trinitätstheologische Streitigkeit über das ‚Hervorgehen des Heiligen Geistes (nur) aus Gott-Vater‘</w:t>
      </w:r>
    </w:p>
    <w:p w14:paraId="1F56CA0E" w14:textId="77777777" w:rsidR="00A024B5" w:rsidRPr="00071438" w:rsidRDefault="00A024B5" w:rsidP="00A024B5">
      <w:pPr>
        <w:numPr>
          <w:ilvl w:val="3"/>
          <w:numId w:val="18"/>
        </w:numPr>
        <w:spacing w:after="0"/>
        <w:ind w:left="2494" w:right="567"/>
        <w:rPr>
          <w:szCs w:val="24"/>
        </w:rPr>
      </w:pPr>
      <w:r w:rsidRPr="00071438">
        <w:rPr>
          <w:szCs w:val="24"/>
        </w:rPr>
        <w:t>Dagegen die westliche, die römisch-katholische Auffassung: Hervorgehen des Geistes aus Gott-Vater und Gott-Sohn (‚</w:t>
      </w:r>
      <w:proofErr w:type="spellStart"/>
      <w:r w:rsidRPr="00071438">
        <w:rPr>
          <w:szCs w:val="24"/>
        </w:rPr>
        <w:t>filoque</w:t>
      </w:r>
      <w:proofErr w:type="spellEnd"/>
      <w:r w:rsidRPr="00071438">
        <w:rPr>
          <w:szCs w:val="24"/>
        </w:rPr>
        <w:t>‘)</w:t>
      </w:r>
    </w:p>
    <w:p w14:paraId="5F923F0B" w14:textId="77777777" w:rsidR="00A024B5" w:rsidRPr="00071438" w:rsidRDefault="00A024B5" w:rsidP="00A024B5">
      <w:pPr>
        <w:numPr>
          <w:ilvl w:val="2"/>
          <w:numId w:val="18"/>
        </w:numPr>
        <w:spacing w:after="0"/>
        <w:ind w:right="567"/>
        <w:rPr>
          <w:szCs w:val="24"/>
        </w:rPr>
      </w:pPr>
      <w:r w:rsidRPr="00071438">
        <w:rPr>
          <w:szCs w:val="24"/>
        </w:rPr>
        <w:t>Ekklesiologischer Streit über das Verhältnis von Papst und Bischöfen: Der Papst ist ‚</w:t>
      </w:r>
      <w:proofErr w:type="spellStart"/>
      <w:r w:rsidRPr="00071438">
        <w:rPr>
          <w:szCs w:val="24"/>
        </w:rPr>
        <w:t>primus</w:t>
      </w:r>
      <w:proofErr w:type="spellEnd"/>
      <w:r w:rsidRPr="00071438">
        <w:rPr>
          <w:szCs w:val="24"/>
        </w:rPr>
        <w:t xml:space="preserve"> </w:t>
      </w:r>
      <w:proofErr w:type="spellStart"/>
      <w:r w:rsidRPr="00071438">
        <w:rPr>
          <w:szCs w:val="24"/>
        </w:rPr>
        <w:t>inter</w:t>
      </w:r>
      <w:proofErr w:type="spellEnd"/>
      <w:r w:rsidRPr="00071438">
        <w:rPr>
          <w:szCs w:val="24"/>
        </w:rPr>
        <w:t xml:space="preserve"> </w:t>
      </w:r>
      <w:proofErr w:type="spellStart"/>
      <w:r w:rsidRPr="00071438">
        <w:rPr>
          <w:szCs w:val="24"/>
        </w:rPr>
        <w:t>pares</w:t>
      </w:r>
      <w:proofErr w:type="spellEnd"/>
      <w:r w:rsidRPr="00071438">
        <w:rPr>
          <w:szCs w:val="24"/>
        </w:rPr>
        <w:t>‘, ‚der Erste unter Gleichen‘</w:t>
      </w:r>
    </w:p>
    <w:p w14:paraId="08897F89" w14:textId="394DC3F7" w:rsidR="00A024B5" w:rsidRPr="00071438" w:rsidRDefault="00A024B5" w:rsidP="00A024B5">
      <w:pPr>
        <w:numPr>
          <w:ilvl w:val="3"/>
          <w:numId w:val="18"/>
        </w:numPr>
        <w:spacing w:after="0"/>
        <w:ind w:left="2517" w:right="567" w:hanging="357"/>
        <w:jc w:val="both"/>
        <w:rPr>
          <w:szCs w:val="24"/>
        </w:rPr>
      </w:pPr>
      <w:r w:rsidRPr="00071438">
        <w:rPr>
          <w:szCs w:val="24"/>
        </w:rPr>
        <w:t xml:space="preserve">Dagegen die westliche, </w:t>
      </w:r>
      <w:r w:rsidR="000253F0">
        <w:rPr>
          <w:szCs w:val="24"/>
        </w:rPr>
        <w:t xml:space="preserve">die </w:t>
      </w:r>
      <w:r w:rsidRPr="00071438">
        <w:rPr>
          <w:szCs w:val="24"/>
        </w:rPr>
        <w:t>römisch-katholische Auffassung: Der Papst ist Nachfolger Petri und Stellvertreter Christi, ‚Diener der Diener Gottes‘</w:t>
      </w:r>
    </w:p>
    <w:p w14:paraId="1DEE6BE2" w14:textId="77777777" w:rsidR="00A024B5" w:rsidRPr="00071438" w:rsidRDefault="00A024B5" w:rsidP="00A024B5">
      <w:pPr>
        <w:numPr>
          <w:ilvl w:val="1"/>
          <w:numId w:val="18"/>
        </w:numPr>
        <w:spacing w:after="0"/>
        <w:ind w:right="567"/>
        <w:jc w:val="both"/>
        <w:rPr>
          <w:szCs w:val="24"/>
        </w:rPr>
      </w:pPr>
      <w:r w:rsidRPr="00071438">
        <w:rPr>
          <w:szCs w:val="24"/>
        </w:rPr>
        <w:t>Äußerliches Erscheinungsbild und Erkennungsmerkmal: Ikonenverehrung, feierliche Gottesdienste</w:t>
      </w:r>
    </w:p>
    <w:p w14:paraId="5EAD9105" w14:textId="77777777" w:rsidR="00A024B5" w:rsidRPr="00071438" w:rsidRDefault="00A024B5" w:rsidP="00A024B5">
      <w:pPr>
        <w:numPr>
          <w:ilvl w:val="1"/>
          <w:numId w:val="18"/>
        </w:numPr>
        <w:spacing w:after="0"/>
        <w:ind w:right="567"/>
        <w:jc w:val="both"/>
        <w:rPr>
          <w:szCs w:val="24"/>
        </w:rPr>
      </w:pPr>
      <w:r w:rsidRPr="00071438">
        <w:rPr>
          <w:szCs w:val="24"/>
        </w:rPr>
        <w:t>Priester sind zumeist verheiratet</w:t>
      </w:r>
    </w:p>
    <w:p w14:paraId="43A15771" w14:textId="77777777" w:rsidR="00A024B5" w:rsidRPr="00071438" w:rsidRDefault="00A024B5" w:rsidP="00A024B5">
      <w:pPr>
        <w:pStyle w:val="Textkrper"/>
        <w:pBdr>
          <w:top w:val="single" w:sz="4" w:space="1" w:color="auto"/>
          <w:left w:val="single" w:sz="4" w:space="4" w:color="auto"/>
          <w:bottom w:val="single" w:sz="4" w:space="1" w:color="auto"/>
          <w:right w:val="single" w:sz="4" w:space="4" w:color="auto"/>
        </w:pBdr>
        <w:spacing w:before="480" w:after="200" w:line="360" w:lineRule="auto"/>
        <w:ind w:left="284" w:right="567"/>
        <w:jc w:val="center"/>
        <w:rPr>
          <w:rFonts w:ascii="Times New Roman" w:hAnsi="Times New Roman"/>
          <w:b/>
          <w:szCs w:val="24"/>
        </w:rPr>
      </w:pPr>
      <w:r>
        <w:rPr>
          <w:rFonts w:ascii="Times New Roman" w:hAnsi="Times New Roman"/>
          <w:b/>
          <w:szCs w:val="24"/>
        </w:rPr>
        <w:t xml:space="preserve">Ende 12. Jahrh.: </w:t>
      </w:r>
      <w:r w:rsidRPr="00071438">
        <w:rPr>
          <w:rFonts w:ascii="Times New Roman" w:hAnsi="Times New Roman"/>
          <w:b/>
          <w:szCs w:val="24"/>
        </w:rPr>
        <w:t>Waldenser</w:t>
      </w:r>
    </w:p>
    <w:p w14:paraId="1FA44FBD" w14:textId="77777777" w:rsidR="00A024B5" w:rsidRPr="00071438" w:rsidRDefault="00A024B5" w:rsidP="00A024B5">
      <w:pPr>
        <w:pStyle w:val="Listenabsatz"/>
        <w:numPr>
          <w:ilvl w:val="0"/>
          <w:numId w:val="21"/>
        </w:numPr>
        <w:spacing w:after="0"/>
        <w:ind w:left="1077" w:right="567"/>
        <w:contextualSpacing w:val="0"/>
        <w:jc w:val="both"/>
        <w:rPr>
          <w:szCs w:val="24"/>
        </w:rPr>
      </w:pPr>
      <w:r w:rsidRPr="00071438">
        <w:rPr>
          <w:szCs w:val="24"/>
        </w:rPr>
        <w:lastRenderedPageBreak/>
        <w:t xml:space="preserve">In Südfrankreich und Oberitalien formieren sich die Anhänger des Kaufmanns Petrus </w:t>
      </w:r>
      <w:proofErr w:type="spellStart"/>
      <w:r w:rsidRPr="00071438">
        <w:rPr>
          <w:szCs w:val="24"/>
        </w:rPr>
        <w:t>Waldus</w:t>
      </w:r>
      <w:proofErr w:type="spellEnd"/>
      <w:r w:rsidRPr="00071438">
        <w:rPr>
          <w:szCs w:val="24"/>
        </w:rPr>
        <w:t xml:space="preserve"> </w:t>
      </w:r>
      <w:r>
        <w:rPr>
          <w:szCs w:val="24"/>
        </w:rPr>
        <w:t xml:space="preserve">(gest. vor 1218) </w:t>
      </w:r>
      <w:r w:rsidRPr="00071438">
        <w:rPr>
          <w:szCs w:val="24"/>
        </w:rPr>
        <w:t>als Gruppe der sogen. ‚Waldenser‘. Diese werden von der Großkirche als Ketzer verurteilt und blutig verfolgt.</w:t>
      </w:r>
    </w:p>
    <w:p w14:paraId="7D93B649" w14:textId="03127742" w:rsidR="00A024B5" w:rsidRPr="00071438" w:rsidRDefault="00A024B5" w:rsidP="00A024B5">
      <w:pPr>
        <w:pStyle w:val="Listenabsatz"/>
        <w:numPr>
          <w:ilvl w:val="0"/>
          <w:numId w:val="14"/>
        </w:numPr>
        <w:spacing w:after="0"/>
        <w:ind w:left="1077" w:right="567" w:hanging="357"/>
        <w:contextualSpacing w:val="0"/>
        <w:jc w:val="both"/>
        <w:rPr>
          <w:szCs w:val="24"/>
        </w:rPr>
      </w:pPr>
      <w:r w:rsidRPr="00071438">
        <w:rPr>
          <w:szCs w:val="24"/>
        </w:rPr>
        <w:t>Inhaltlicher (‚theologischer‘) Unterschied zur Großkirche: Die Waldenser</w:t>
      </w:r>
      <w:r w:rsidR="000253F0">
        <w:rPr>
          <w:szCs w:val="24"/>
        </w:rPr>
        <w:t>…</w:t>
      </w:r>
    </w:p>
    <w:p w14:paraId="26C50A4E" w14:textId="7763AB0D" w:rsidR="00A024B5" w:rsidRPr="00071438" w:rsidRDefault="00A024B5" w:rsidP="00A024B5">
      <w:pPr>
        <w:pStyle w:val="Listenabsatz"/>
        <w:numPr>
          <w:ilvl w:val="0"/>
          <w:numId w:val="15"/>
        </w:numPr>
        <w:spacing w:after="0"/>
        <w:ind w:left="1587" w:right="567" w:hanging="357"/>
        <w:contextualSpacing w:val="0"/>
        <w:jc w:val="both"/>
        <w:rPr>
          <w:szCs w:val="24"/>
        </w:rPr>
      </w:pPr>
      <w:r w:rsidRPr="00071438">
        <w:rPr>
          <w:szCs w:val="24"/>
        </w:rPr>
        <w:t>bekennen sich zur evangelischen Armut und begreifen dies als verbindlich für alle Christen</w:t>
      </w:r>
      <w:r w:rsidR="000253F0">
        <w:rPr>
          <w:szCs w:val="24"/>
        </w:rPr>
        <w:t>.</w:t>
      </w:r>
    </w:p>
    <w:p w14:paraId="70290882" w14:textId="77777777" w:rsidR="00A024B5" w:rsidRPr="00071438" w:rsidRDefault="00A024B5" w:rsidP="00A024B5">
      <w:pPr>
        <w:pStyle w:val="Listenabsatz"/>
        <w:numPr>
          <w:ilvl w:val="0"/>
          <w:numId w:val="15"/>
        </w:numPr>
        <w:spacing w:after="0"/>
        <w:ind w:left="1587" w:right="567" w:hanging="357"/>
        <w:contextualSpacing w:val="0"/>
        <w:jc w:val="both"/>
        <w:rPr>
          <w:szCs w:val="24"/>
        </w:rPr>
      </w:pPr>
      <w:r w:rsidRPr="00071438">
        <w:rPr>
          <w:szCs w:val="24"/>
        </w:rPr>
        <w:t>bekennen sich zum Grundsatz des allgemeinen Priestertums aller Gläubigen. Das sacerdotale (kultische Opfer-)Priestertum als Mittler zwischen Gott und Mensch sei nicht notwendig zur Heilsvermittlung</w:t>
      </w:r>
    </w:p>
    <w:p w14:paraId="71384993" w14:textId="77777777" w:rsidR="00A024B5" w:rsidRPr="00071438" w:rsidRDefault="00A024B5" w:rsidP="00A024B5">
      <w:pPr>
        <w:pStyle w:val="Textkrper-Erstzeileneinzug2"/>
        <w:pBdr>
          <w:top w:val="single" w:sz="4" w:space="1" w:color="auto"/>
          <w:left w:val="single" w:sz="4" w:space="4" w:color="auto"/>
          <w:bottom w:val="single" w:sz="4" w:space="1" w:color="auto"/>
          <w:right w:val="single" w:sz="4" w:space="4" w:color="auto"/>
        </w:pBdr>
        <w:spacing w:before="480" w:line="360" w:lineRule="auto"/>
        <w:ind w:left="284" w:right="567"/>
        <w:jc w:val="center"/>
        <w:rPr>
          <w:rFonts w:ascii="Times New Roman" w:hAnsi="Times New Roman"/>
          <w:b/>
          <w:szCs w:val="24"/>
        </w:rPr>
      </w:pPr>
      <w:r w:rsidRPr="00071438">
        <w:rPr>
          <w:rFonts w:ascii="Times New Roman" w:hAnsi="Times New Roman"/>
          <w:b/>
          <w:szCs w:val="24"/>
        </w:rPr>
        <w:t xml:space="preserve">ab </w:t>
      </w:r>
      <w:r>
        <w:rPr>
          <w:rFonts w:ascii="Times New Roman" w:hAnsi="Times New Roman"/>
          <w:b/>
          <w:szCs w:val="24"/>
        </w:rPr>
        <w:t>1520: Reformatorische Kirchen</w:t>
      </w:r>
    </w:p>
    <w:p w14:paraId="176B9167" w14:textId="77777777" w:rsidR="00A024B5" w:rsidRPr="00071438" w:rsidRDefault="00A024B5" w:rsidP="00A024B5">
      <w:pPr>
        <w:pStyle w:val="Listenabsatz"/>
        <w:numPr>
          <w:ilvl w:val="0"/>
          <w:numId w:val="14"/>
        </w:numPr>
        <w:spacing w:after="0"/>
        <w:ind w:left="1077" w:right="567"/>
        <w:contextualSpacing w:val="0"/>
        <w:jc w:val="both"/>
        <w:rPr>
          <w:szCs w:val="24"/>
        </w:rPr>
      </w:pPr>
      <w:r w:rsidRPr="00071438">
        <w:rPr>
          <w:szCs w:val="24"/>
        </w:rPr>
        <w:t>Die päpstliche Kirche geht gegen die reformatorischen Kräfte (in Gefolge Zwinglis, Calvins und Luthers) vor, die reformatorischen Kirchen verselbstständigen sich daraufhin</w:t>
      </w:r>
    </w:p>
    <w:p w14:paraId="14B5DFC8" w14:textId="77777777" w:rsidR="00A024B5" w:rsidRPr="00D3351A" w:rsidRDefault="00A024B5" w:rsidP="00A024B5">
      <w:pPr>
        <w:numPr>
          <w:ilvl w:val="3"/>
          <w:numId w:val="16"/>
        </w:numPr>
        <w:spacing w:after="0"/>
        <w:ind w:left="1077" w:right="567"/>
        <w:rPr>
          <w:szCs w:val="24"/>
        </w:rPr>
      </w:pPr>
      <w:r w:rsidRPr="00D3351A">
        <w:rPr>
          <w:szCs w:val="24"/>
        </w:rPr>
        <w:t>Theologische Kerngehalte der reformatorischen Bewegung waren:</w:t>
      </w:r>
    </w:p>
    <w:p w14:paraId="2056BA73" w14:textId="7675CE41" w:rsidR="00A024B5" w:rsidRPr="00D3351A" w:rsidRDefault="00A024B5" w:rsidP="00A024B5">
      <w:pPr>
        <w:numPr>
          <w:ilvl w:val="4"/>
          <w:numId w:val="23"/>
        </w:numPr>
        <w:spacing w:after="0"/>
        <w:ind w:right="567"/>
        <w:rPr>
          <w:szCs w:val="24"/>
        </w:rPr>
      </w:pPr>
      <w:r w:rsidRPr="00D3351A">
        <w:rPr>
          <w:szCs w:val="24"/>
        </w:rPr>
        <w:t>Gott ist in seinem Sohn zu den Menschen gekommen, diese sind dadurch zu neuem Leben „befreit“</w:t>
      </w:r>
      <w:r w:rsidR="000253F0">
        <w:rPr>
          <w:szCs w:val="24"/>
        </w:rPr>
        <w:t>.</w:t>
      </w:r>
    </w:p>
    <w:p w14:paraId="3A3B897F" w14:textId="2076850F" w:rsidR="00A024B5" w:rsidRPr="00D3351A" w:rsidRDefault="00A024B5" w:rsidP="00A024B5">
      <w:pPr>
        <w:numPr>
          <w:ilvl w:val="4"/>
          <w:numId w:val="23"/>
        </w:numPr>
        <w:spacing w:after="0"/>
        <w:ind w:right="567"/>
        <w:rPr>
          <w:szCs w:val="24"/>
        </w:rPr>
      </w:pPr>
      <w:r w:rsidRPr="00D3351A">
        <w:rPr>
          <w:szCs w:val="24"/>
        </w:rPr>
        <w:t>Durch den Tod des Gottessohnes ist Gott (wieder) mit den Menschen ver</w:t>
      </w:r>
      <w:r>
        <w:rPr>
          <w:szCs w:val="24"/>
        </w:rPr>
        <w:t>söhnt. Diese Ver</w:t>
      </w:r>
      <w:r w:rsidRPr="00D3351A">
        <w:rPr>
          <w:szCs w:val="24"/>
        </w:rPr>
        <w:t>söhnung vollzog sich in der Auferweckung des Gottessohnes</w:t>
      </w:r>
      <w:r w:rsidR="000253F0">
        <w:rPr>
          <w:szCs w:val="24"/>
        </w:rPr>
        <w:t>.</w:t>
      </w:r>
    </w:p>
    <w:p w14:paraId="19169E10" w14:textId="7DDB5B26" w:rsidR="00A024B5" w:rsidRPr="00D3351A" w:rsidRDefault="00A024B5" w:rsidP="00A024B5">
      <w:pPr>
        <w:numPr>
          <w:ilvl w:val="4"/>
          <w:numId w:val="23"/>
        </w:numPr>
        <w:spacing w:after="0"/>
        <w:ind w:right="567"/>
        <w:rPr>
          <w:szCs w:val="24"/>
        </w:rPr>
      </w:pPr>
      <w:r w:rsidRPr="00D3351A">
        <w:rPr>
          <w:szCs w:val="24"/>
        </w:rPr>
        <w:t>Gott hat dem Menschen damit Gnade und Vergebung geschenkt und ihn zum „neuen Leben“ befreit, zur Gemeinschaft nämlich mit Gott</w:t>
      </w:r>
      <w:r w:rsidR="000253F0">
        <w:rPr>
          <w:szCs w:val="24"/>
        </w:rPr>
        <w:t>.</w:t>
      </w:r>
    </w:p>
    <w:p w14:paraId="13BA85E3" w14:textId="6344C4AD" w:rsidR="00A024B5" w:rsidRPr="00D3351A" w:rsidRDefault="00A024B5" w:rsidP="00A024B5">
      <w:pPr>
        <w:numPr>
          <w:ilvl w:val="4"/>
          <w:numId w:val="23"/>
        </w:numPr>
        <w:spacing w:after="0"/>
        <w:ind w:right="567"/>
        <w:rPr>
          <w:szCs w:val="24"/>
        </w:rPr>
      </w:pPr>
      <w:r w:rsidRPr="00D3351A">
        <w:rPr>
          <w:szCs w:val="24"/>
        </w:rPr>
        <w:t>Vor Gott „gerechtfertigt“ wird der Mensch allein durch den Glauben an dieses Geschenk (c), dadurch also, dass er es annimmt</w:t>
      </w:r>
      <w:r w:rsidR="000253F0">
        <w:rPr>
          <w:szCs w:val="24"/>
        </w:rPr>
        <w:t>.</w:t>
      </w:r>
    </w:p>
    <w:p w14:paraId="75AF002C" w14:textId="2F46D617" w:rsidR="00A024B5" w:rsidRPr="00D3351A" w:rsidRDefault="00A024B5" w:rsidP="00A024B5">
      <w:pPr>
        <w:numPr>
          <w:ilvl w:val="4"/>
          <w:numId w:val="23"/>
        </w:numPr>
        <w:spacing w:after="0"/>
        <w:ind w:right="567"/>
        <w:rPr>
          <w:szCs w:val="24"/>
        </w:rPr>
      </w:pPr>
      <w:r w:rsidRPr="00D3351A">
        <w:rPr>
          <w:szCs w:val="24"/>
        </w:rPr>
        <w:lastRenderedPageBreak/>
        <w:t>Dieser Glaube (d) ist ganz und gar Geschenk des hl. Geistes</w:t>
      </w:r>
      <w:r w:rsidR="000253F0">
        <w:rPr>
          <w:szCs w:val="24"/>
        </w:rPr>
        <w:t>.</w:t>
      </w:r>
    </w:p>
    <w:p w14:paraId="55A6865A" w14:textId="4B8FEA93" w:rsidR="00A024B5" w:rsidRPr="00D3351A" w:rsidRDefault="00A024B5" w:rsidP="00A024B5">
      <w:pPr>
        <w:numPr>
          <w:ilvl w:val="4"/>
          <w:numId w:val="23"/>
        </w:numPr>
        <w:spacing w:after="0"/>
        <w:ind w:right="567"/>
        <w:rPr>
          <w:szCs w:val="24"/>
        </w:rPr>
      </w:pPr>
      <w:r w:rsidRPr="00D3351A">
        <w:rPr>
          <w:szCs w:val="24"/>
        </w:rPr>
        <w:t>Der Mensch kann sich dieses Geschenk nicht durch moralisches bzw. ethisches Tun („Werkegerechtigkeit“) erwirken bzw. verdienen</w:t>
      </w:r>
    </w:p>
    <w:p w14:paraId="707D19F6" w14:textId="77777777" w:rsidR="00A024B5" w:rsidRDefault="00A024B5" w:rsidP="00A024B5">
      <w:pPr>
        <w:numPr>
          <w:ilvl w:val="4"/>
          <w:numId w:val="23"/>
        </w:numPr>
        <w:spacing w:after="0"/>
        <w:ind w:right="567"/>
        <w:rPr>
          <w:szCs w:val="24"/>
        </w:rPr>
      </w:pPr>
      <w:r w:rsidRPr="00D3351A">
        <w:rPr>
          <w:szCs w:val="24"/>
        </w:rPr>
        <w:t>Das Geschehen zwischen dem Heiligen Geist und dem einzelnen Menschen bedarf keiner Vermittlung durch die Kirche, also auch keiner Sakramente (außer der Taufe)</w:t>
      </w:r>
    </w:p>
    <w:p w14:paraId="0A59E875" w14:textId="4EE23CAA" w:rsidR="00A024B5" w:rsidRPr="00071438" w:rsidRDefault="00A024B5" w:rsidP="00A024B5">
      <w:pPr>
        <w:pStyle w:val="Listenabsatz"/>
        <w:numPr>
          <w:ilvl w:val="0"/>
          <w:numId w:val="14"/>
        </w:numPr>
        <w:spacing w:after="0"/>
        <w:ind w:left="1077" w:right="567"/>
        <w:contextualSpacing w:val="0"/>
        <w:jc w:val="both"/>
        <w:rPr>
          <w:szCs w:val="24"/>
        </w:rPr>
      </w:pPr>
      <w:r>
        <w:rPr>
          <w:szCs w:val="24"/>
        </w:rPr>
        <w:t xml:space="preserve">Die </w:t>
      </w:r>
      <w:r w:rsidRPr="00071438">
        <w:rPr>
          <w:szCs w:val="24"/>
        </w:rPr>
        <w:t>Inhaltliche</w:t>
      </w:r>
      <w:r>
        <w:rPr>
          <w:szCs w:val="24"/>
        </w:rPr>
        <w:t>n</w:t>
      </w:r>
      <w:r w:rsidRPr="00071438">
        <w:rPr>
          <w:szCs w:val="24"/>
        </w:rPr>
        <w:t xml:space="preserve"> (theologische</w:t>
      </w:r>
      <w:r>
        <w:rPr>
          <w:szCs w:val="24"/>
        </w:rPr>
        <w:t>n</w:t>
      </w:r>
      <w:r w:rsidRPr="00071438">
        <w:rPr>
          <w:szCs w:val="24"/>
        </w:rPr>
        <w:t>) Unterschied</w:t>
      </w:r>
      <w:r>
        <w:rPr>
          <w:szCs w:val="24"/>
        </w:rPr>
        <w:t>e</w:t>
      </w:r>
      <w:r w:rsidRPr="00071438">
        <w:rPr>
          <w:szCs w:val="24"/>
        </w:rPr>
        <w:t xml:space="preserve"> zur Großkirche</w:t>
      </w:r>
      <w:r>
        <w:rPr>
          <w:szCs w:val="24"/>
        </w:rPr>
        <w:t xml:space="preserve"> lassen sich in vier Kurzprogrammatiken zusammenfassen: </w:t>
      </w:r>
      <w:r w:rsidRPr="00071438">
        <w:rPr>
          <w:szCs w:val="24"/>
        </w:rPr>
        <w:t>Die verschiedenen reformatorischen Kirchen bekennen</w:t>
      </w:r>
      <w:r w:rsidR="000253F0">
        <w:rPr>
          <w:szCs w:val="24"/>
        </w:rPr>
        <w:t>…</w:t>
      </w:r>
    </w:p>
    <w:p w14:paraId="36378E2C" w14:textId="77777777" w:rsidR="00A024B5" w:rsidRPr="00071438" w:rsidRDefault="00A024B5" w:rsidP="00A024B5">
      <w:pPr>
        <w:pStyle w:val="Listenabsatz"/>
        <w:numPr>
          <w:ilvl w:val="4"/>
          <w:numId w:val="16"/>
        </w:numPr>
        <w:spacing w:after="0"/>
        <w:ind w:left="1701" w:right="567" w:hanging="357"/>
        <w:contextualSpacing w:val="0"/>
        <w:jc w:val="both"/>
        <w:rPr>
          <w:szCs w:val="24"/>
        </w:rPr>
      </w:pPr>
      <w:r w:rsidRPr="00071438">
        <w:rPr>
          <w:szCs w:val="24"/>
        </w:rPr>
        <w:t xml:space="preserve">‚sola </w:t>
      </w:r>
      <w:proofErr w:type="spellStart"/>
      <w:r w:rsidRPr="00071438">
        <w:rPr>
          <w:szCs w:val="24"/>
        </w:rPr>
        <w:t>gratia</w:t>
      </w:r>
      <w:proofErr w:type="spellEnd"/>
      <w:r w:rsidRPr="00071438">
        <w:rPr>
          <w:szCs w:val="24"/>
        </w:rPr>
        <w:t>‘: Der Mensch erlangt allein aus Gottes Gnade (und nicht aufgrund der sakramentalen Vermittlung durch die kirchlichen Riten) das Heil</w:t>
      </w:r>
    </w:p>
    <w:p w14:paraId="0C55F445" w14:textId="77777777" w:rsidR="00A024B5" w:rsidRPr="00071438" w:rsidRDefault="00A024B5" w:rsidP="00A024B5">
      <w:pPr>
        <w:pStyle w:val="Listenabsatz"/>
        <w:numPr>
          <w:ilvl w:val="4"/>
          <w:numId w:val="16"/>
        </w:numPr>
        <w:spacing w:after="0"/>
        <w:ind w:left="1701" w:right="567" w:hanging="357"/>
        <w:contextualSpacing w:val="0"/>
        <w:jc w:val="both"/>
        <w:rPr>
          <w:szCs w:val="24"/>
        </w:rPr>
      </w:pPr>
      <w:r w:rsidRPr="00071438">
        <w:rPr>
          <w:szCs w:val="24"/>
        </w:rPr>
        <w:t>‚sola scriptura‘: Grundlage des religiösen Lebens und alleiniger Maßstab desselben und allen christlichen Glaubens ist die Bibel (und nicht die schriftliche und mündliche Tradition kirchenamtlicher Lehren)</w:t>
      </w:r>
    </w:p>
    <w:p w14:paraId="5888BD14" w14:textId="77777777" w:rsidR="00A024B5" w:rsidRDefault="00A024B5" w:rsidP="00A024B5">
      <w:pPr>
        <w:pStyle w:val="Listenabsatz"/>
        <w:numPr>
          <w:ilvl w:val="4"/>
          <w:numId w:val="16"/>
        </w:numPr>
        <w:spacing w:after="0"/>
        <w:ind w:left="1701" w:right="567" w:hanging="357"/>
        <w:contextualSpacing w:val="0"/>
        <w:jc w:val="both"/>
        <w:rPr>
          <w:szCs w:val="24"/>
        </w:rPr>
      </w:pPr>
      <w:r w:rsidRPr="00071438">
        <w:rPr>
          <w:szCs w:val="24"/>
        </w:rPr>
        <w:t xml:space="preserve">‚Sola </w:t>
      </w:r>
      <w:proofErr w:type="spellStart"/>
      <w:r w:rsidRPr="00071438">
        <w:rPr>
          <w:szCs w:val="24"/>
        </w:rPr>
        <w:t>fide</w:t>
      </w:r>
      <w:proofErr w:type="spellEnd"/>
      <w:r w:rsidRPr="00071438">
        <w:rPr>
          <w:szCs w:val="24"/>
        </w:rPr>
        <w:t xml:space="preserve">‘: Der Mensch kann sich vor Gott als der ewigen Glückseligkeit würdig erweisen ausschließlich aufgrund seines Glaubens (und nicht aufgrund seiner guten Werke und Verdienste). </w:t>
      </w:r>
      <w:proofErr w:type="gramStart"/>
      <w:r w:rsidRPr="00071438">
        <w:rPr>
          <w:szCs w:val="24"/>
        </w:rPr>
        <w:t>Geschichtliches  Stichwort</w:t>
      </w:r>
      <w:proofErr w:type="gramEnd"/>
      <w:r w:rsidRPr="00071438">
        <w:rPr>
          <w:szCs w:val="24"/>
        </w:rPr>
        <w:t xml:space="preserve"> hierfür: Ablasshandel</w:t>
      </w:r>
    </w:p>
    <w:p w14:paraId="10CA8315" w14:textId="77777777" w:rsidR="00A024B5" w:rsidRPr="00D3351A" w:rsidRDefault="00A024B5" w:rsidP="00A024B5">
      <w:pPr>
        <w:pStyle w:val="Listenabsatz"/>
        <w:numPr>
          <w:ilvl w:val="4"/>
          <w:numId w:val="16"/>
        </w:numPr>
        <w:spacing w:after="0"/>
        <w:ind w:left="1701" w:right="567" w:hanging="357"/>
        <w:contextualSpacing w:val="0"/>
        <w:jc w:val="both"/>
        <w:rPr>
          <w:szCs w:val="24"/>
        </w:rPr>
      </w:pPr>
      <w:r>
        <w:rPr>
          <w:szCs w:val="24"/>
        </w:rPr>
        <w:t>Solus Christus!</w:t>
      </w:r>
    </w:p>
    <w:p w14:paraId="441375CD" w14:textId="3F542271" w:rsidR="00A024B5" w:rsidRPr="00071438" w:rsidRDefault="00A024B5" w:rsidP="00A024B5">
      <w:pPr>
        <w:numPr>
          <w:ilvl w:val="3"/>
          <w:numId w:val="16"/>
        </w:numPr>
        <w:spacing w:after="0"/>
        <w:ind w:left="1077" w:right="567"/>
        <w:rPr>
          <w:szCs w:val="24"/>
        </w:rPr>
      </w:pPr>
      <w:r w:rsidRPr="00071438">
        <w:rPr>
          <w:szCs w:val="24"/>
        </w:rPr>
        <w:t>Landes- und Freikirchen v.a. in der Schweiz, in Frankreich, Deutschland, England, in den Niederlanden und USA</w:t>
      </w:r>
    </w:p>
    <w:p w14:paraId="399B03A7" w14:textId="77777777" w:rsidR="00A024B5" w:rsidRPr="00071438" w:rsidRDefault="00A024B5" w:rsidP="00A024B5">
      <w:pPr>
        <w:numPr>
          <w:ilvl w:val="3"/>
          <w:numId w:val="16"/>
        </w:numPr>
        <w:spacing w:after="0"/>
        <w:ind w:left="1077" w:right="567"/>
        <w:rPr>
          <w:szCs w:val="24"/>
        </w:rPr>
      </w:pPr>
      <w:r w:rsidRPr="00071438">
        <w:rPr>
          <w:szCs w:val="24"/>
        </w:rPr>
        <w:t>Anglikanische Kirche: 1534, berufen sich auf Heinrich VIII, England</w:t>
      </w:r>
    </w:p>
    <w:p w14:paraId="0AE7F0C4" w14:textId="77777777" w:rsidR="00A024B5" w:rsidRPr="00071438" w:rsidRDefault="00A024B5" w:rsidP="00A024B5">
      <w:pPr>
        <w:numPr>
          <w:ilvl w:val="4"/>
          <w:numId w:val="22"/>
        </w:numPr>
        <w:spacing w:after="0"/>
        <w:ind w:left="1984" w:right="567"/>
        <w:rPr>
          <w:szCs w:val="24"/>
        </w:rPr>
      </w:pPr>
      <w:r w:rsidRPr="00071438">
        <w:rPr>
          <w:szCs w:val="24"/>
        </w:rPr>
        <w:t>Oberhaupt: König von England</w:t>
      </w:r>
    </w:p>
    <w:p w14:paraId="7F0C5389" w14:textId="77777777" w:rsidR="00A024B5" w:rsidRPr="00071438" w:rsidRDefault="00A024B5" w:rsidP="00A024B5">
      <w:pPr>
        <w:numPr>
          <w:ilvl w:val="4"/>
          <w:numId w:val="22"/>
        </w:numPr>
        <w:spacing w:after="0"/>
        <w:ind w:left="1984" w:right="567"/>
        <w:rPr>
          <w:szCs w:val="24"/>
        </w:rPr>
      </w:pPr>
      <w:r w:rsidRPr="00071438">
        <w:rPr>
          <w:szCs w:val="24"/>
        </w:rPr>
        <w:t>Geistliches Oberhaupt. Erzbischof von Canterbury</w:t>
      </w:r>
    </w:p>
    <w:p w14:paraId="16EDA1CA" w14:textId="77777777" w:rsidR="00A024B5" w:rsidRPr="00071438" w:rsidRDefault="00A024B5" w:rsidP="00A024B5">
      <w:pPr>
        <w:numPr>
          <w:ilvl w:val="3"/>
          <w:numId w:val="16"/>
        </w:numPr>
        <w:spacing w:after="0"/>
        <w:ind w:left="1077" w:right="567"/>
        <w:rPr>
          <w:szCs w:val="24"/>
        </w:rPr>
      </w:pPr>
      <w:r w:rsidRPr="00071438">
        <w:rPr>
          <w:szCs w:val="24"/>
        </w:rPr>
        <w:lastRenderedPageBreak/>
        <w:t>Baptisten: 17. Jahrh., berufen sich auf Calvin</w:t>
      </w:r>
    </w:p>
    <w:p w14:paraId="35646EF7" w14:textId="77777777" w:rsidR="00A024B5" w:rsidRPr="00071438" w:rsidRDefault="00A024B5" w:rsidP="00A024B5">
      <w:pPr>
        <w:numPr>
          <w:ilvl w:val="4"/>
          <w:numId w:val="19"/>
        </w:numPr>
        <w:spacing w:after="0"/>
        <w:ind w:left="1984" w:right="567"/>
        <w:rPr>
          <w:szCs w:val="24"/>
        </w:rPr>
      </w:pPr>
      <w:r w:rsidRPr="00071438">
        <w:rPr>
          <w:szCs w:val="24"/>
        </w:rPr>
        <w:t>Ablehnen der Kindertaufe, stattdessen nur Erwachsenentaufe, und zwar durch vollständiges Untertauchen</w:t>
      </w:r>
    </w:p>
    <w:p w14:paraId="6901D67D" w14:textId="77777777" w:rsidR="00A024B5" w:rsidRPr="00071438" w:rsidRDefault="00A024B5" w:rsidP="00A024B5">
      <w:pPr>
        <w:pStyle w:val="Textkrper-Erstzeileneinzug2"/>
        <w:pBdr>
          <w:top w:val="single" w:sz="4" w:space="1" w:color="auto"/>
          <w:left w:val="single" w:sz="4" w:space="4" w:color="auto"/>
          <w:bottom w:val="single" w:sz="4" w:space="1" w:color="auto"/>
          <w:right w:val="single" w:sz="4" w:space="4" w:color="auto"/>
        </w:pBdr>
        <w:spacing w:before="480" w:line="360" w:lineRule="auto"/>
        <w:ind w:left="0" w:right="567"/>
        <w:jc w:val="center"/>
        <w:rPr>
          <w:rFonts w:ascii="Times New Roman" w:hAnsi="Times New Roman"/>
          <w:b/>
          <w:szCs w:val="24"/>
        </w:rPr>
      </w:pPr>
      <w:r w:rsidRPr="00071438">
        <w:rPr>
          <w:rFonts w:ascii="Times New Roman" w:hAnsi="Times New Roman"/>
          <w:b/>
          <w:szCs w:val="24"/>
        </w:rPr>
        <w:t>1871: Alt-katholische Kirche</w:t>
      </w:r>
    </w:p>
    <w:p w14:paraId="068E74AC" w14:textId="77777777" w:rsidR="00A024B5" w:rsidRPr="000253F0" w:rsidRDefault="00A024B5" w:rsidP="00A024B5">
      <w:pPr>
        <w:pStyle w:val="Aufzhlungszeichen2"/>
        <w:numPr>
          <w:ilvl w:val="0"/>
          <w:numId w:val="9"/>
        </w:numPr>
        <w:spacing w:line="360" w:lineRule="auto"/>
        <w:ind w:left="1077" w:right="567"/>
        <w:jc w:val="both"/>
        <w:rPr>
          <w:rFonts w:ascii="Times New Roman" w:hAnsi="Times New Roman"/>
          <w:b/>
          <w:sz w:val="28"/>
          <w:szCs w:val="28"/>
        </w:rPr>
      </w:pPr>
      <w:r w:rsidRPr="000253F0">
        <w:rPr>
          <w:rFonts w:ascii="Times New Roman" w:hAnsi="Times New Roman"/>
          <w:sz w:val="28"/>
          <w:szCs w:val="28"/>
        </w:rPr>
        <w:t xml:space="preserve">Die Bischöfe und Kardinäle, die sich 1871 unter Vorsitz des Papstes zum ersten Vatikanischen Konzil in Rom versammelt hatten, beschlossen ein auch unter den Konzilsteilnehmern äußerst umstrittenes Dogma, also einen von allen katholischen Christen als wahr anzuerkennenden ‚Lehrsatz in Betreff des Glaubens bzw. des sittlichen Handelns‘: Das Dogma von der Unfehlbarkeit des Papstes. Dieses besagt, dass die Kirche als Ganzes unter dem bleibenden Beistand Gottes stehe und daher auch in dem, was sie als Glaubenswahrheit verkündet, sicher sein könne, nicht zu irren. Dieser Sicherheit dokumentiere und vollziehe sich im obersten Repräsentanten </w:t>
      </w:r>
      <w:proofErr w:type="gramStart"/>
      <w:r w:rsidRPr="000253F0">
        <w:rPr>
          <w:rFonts w:ascii="Times New Roman" w:hAnsi="Times New Roman"/>
          <w:sz w:val="28"/>
          <w:szCs w:val="28"/>
        </w:rPr>
        <w:t>des hierarchischen kirchlichen Lehramt</w:t>
      </w:r>
      <w:proofErr w:type="gramEnd"/>
      <w:r w:rsidRPr="000253F0">
        <w:rPr>
          <w:rFonts w:ascii="Times New Roman" w:hAnsi="Times New Roman"/>
          <w:sz w:val="28"/>
          <w:szCs w:val="28"/>
        </w:rPr>
        <w:t xml:space="preserve">, im Papst: Immer dann, wenn dieser eine Lehre in Glaubens- und Sittendingen als wahr verkünde, jedoch auch nur dann, wenn er dieses unter ausdrücklichem Bezug auf seine Lehramtsgewalt, also ‚ex </w:t>
      </w:r>
      <w:proofErr w:type="spellStart"/>
      <w:r w:rsidRPr="000253F0">
        <w:rPr>
          <w:rFonts w:ascii="Times New Roman" w:hAnsi="Times New Roman"/>
          <w:sz w:val="28"/>
          <w:szCs w:val="28"/>
        </w:rPr>
        <w:t>cathedra</w:t>
      </w:r>
      <w:proofErr w:type="spellEnd"/>
      <w:r w:rsidRPr="000253F0">
        <w:rPr>
          <w:rFonts w:ascii="Times New Roman" w:hAnsi="Times New Roman"/>
          <w:sz w:val="28"/>
          <w:szCs w:val="28"/>
        </w:rPr>
        <w:t>‘ tut, ist die betreffende Lehre von allen Christen als wahr zu übernehmen, ist sie also unfehlbar.</w:t>
      </w:r>
    </w:p>
    <w:p w14:paraId="221E963F" w14:textId="77777777" w:rsidR="00A024B5" w:rsidRPr="000253F0" w:rsidRDefault="00A024B5" w:rsidP="00A024B5">
      <w:pPr>
        <w:pStyle w:val="Aufzhlungszeichen2"/>
        <w:numPr>
          <w:ilvl w:val="0"/>
          <w:numId w:val="9"/>
        </w:numPr>
        <w:spacing w:line="360" w:lineRule="auto"/>
        <w:ind w:left="1077" w:right="567"/>
        <w:jc w:val="both"/>
        <w:rPr>
          <w:rFonts w:ascii="Times New Roman" w:hAnsi="Times New Roman"/>
          <w:b/>
          <w:sz w:val="28"/>
          <w:szCs w:val="28"/>
        </w:rPr>
      </w:pPr>
      <w:r w:rsidRPr="000253F0">
        <w:rPr>
          <w:rFonts w:ascii="Times New Roman" w:hAnsi="Times New Roman"/>
          <w:sz w:val="28"/>
          <w:szCs w:val="28"/>
        </w:rPr>
        <w:t>Im Widerstand gegen dieses Dogma trennten sich einige Bischöfe von der katholischen Kirche ab und gründeten eine eigene, eine ‚altkatholische‘, also ‚ursprünglich katholische‘ Kirche.</w:t>
      </w:r>
    </w:p>
    <w:p w14:paraId="0A76A55D" w14:textId="00323E18" w:rsidR="00A024B5" w:rsidRPr="000253F0" w:rsidRDefault="00A024B5" w:rsidP="00A024B5">
      <w:pPr>
        <w:pStyle w:val="Aufzhlungszeichen2"/>
        <w:numPr>
          <w:ilvl w:val="0"/>
          <w:numId w:val="9"/>
        </w:numPr>
        <w:spacing w:line="360" w:lineRule="auto"/>
        <w:ind w:left="1077" w:right="567"/>
        <w:jc w:val="both"/>
        <w:rPr>
          <w:rFonts w:ascii="Times New Roman" w:hAnsi="Times New Roman"/>
          <w:sz w:val="28"/>
          <w:szCs w:val="28"/>
        </w:rPr>
      </w:pPr>
      <w:r w:rsidRPr="000253F0">
        <w:rPr>
          <w:rFonts w:ascii="Times New Roman" w:hAnsi="Times New Roman"/>
          <w:sz w:val="28"/>
          <w:szCs w:val="28"/>
        </w:rPr>
        <w:t xml:space="preserve">Tatsächlich wurde als ‚unfehlbar‘ bisher nur eine Lehre verkündet, formuliert als Dogma von der ‚leiblichen Aufnahme Mariens in den Himmel (…)‘. </w:t>
      </w:r>
      <w:proofErr w:type="gramStart"/>
      <w:r w:rsidRPr="000253F0">
        <w:rPr>
          <w:rFonts w:ascii="Times New Roman" w:hAnsi="Times New Roman"/>
          <w:sz w:val="28"/>
          <w:szCs w:val="28"/>
        </w:rPr>
        <w:t>Selbiges</w:t>
      </w:r>
      <w:proofErr w:type="gramEnd"/>
      <w:r w:rsidRPr="000253F0">
        <w:rPr>
          <w:rFonts w:ascii="Times New Roman" w:hAnsi="Times New Roman"/>
          <w:sz w:val="28"/>
          <w:szCs w:val="28"/>
        </w:rPr>
        <w:t xml:space="preserve"> ist jedoch bloß logische Konsequenz (ein apriorisches Urteil), mithin nur eine Explikation eines vorangegangenen, am 08.12.1854 von Papst Pius IX (1846 – 1878) </w:t>
      </w:r>
      <w:r w:rsidRPr="000253F0">
        <w:rPr>
          <w:rFonts w:ascii="Times New Roman" w:hAnsi="Times New Roman"/>
          <w:sz w:val="28"/>
          <w:szCs w:val="28"/>
        </w:rPr>
        <w:lastRenderedPageBreak/>
        <w:t>verkündeten (selbst also noch nicht als unfehlbar deklarierten) Dogmas, desjenigen nämlich von der ‚Unbefleckten Empfängnis‘ Mariens. Indem dieses nämlich besagt, dass Maria, die ‚Mutter Gottes‘, im Unterschied zu allen anderen Menschen und bedingt durch die Gnade Gottes ‚</w:t>
      </w:r>
      <w:r w:rsidRPr="000253F0">
        <w:rPr>
          <w:rFonts w:ascii="Times New Roman" w:hAnsi="Times New Roman"/>
          <w:i/>
          <w:sz w:val="28"/>
          <w:szCs w:val="28"/>
        </w:rPr>
        <w:t>ohne den Makel der Erbsünde</w:t>
      </w:r>
      <w:r w:rsidRPr="000253F0">
        <w:rPr>
          <w:rFonts w:ascii="Times New Roman" w:hAnsi="Times New Roman"/>
          <w:sz w:val="28"/>
          <w:szCs w:val="28"/>
        </w:rPr>
        <w:t xml:space="preserve">‘ gezeugt wurde, ist auch jener Glaubenssatz von der leiblichen Aufnahme Mariens zwingend ausgesagt. Denn letzterer besagt ja nur, dass sich die unsterbliche Seele Mariens nach dem Tod Mariens unmittelbar wieder </w:t>
      </w:r>
      <w:proofErr w:type="gramStart"/>
      <w:r w:rsidRPr="000253F0">
        <w:rPr>
          <w:rFonts w:ascii="Times New Roman" w:hAnsi="Times New Roman"/>
          <w:sz w:val="28"/>
          <w:szCs w:val="28"/>
        </w:rPr>
        <w:t>vereinigt</w:t>
      </w:r>
      <w:proofErr w:type="gramEnd"/>
      <w:r w:rsidRPr="000253F0">
        <w:rPr>
          <w:rFonts w:ascii="Times New Roman" w:hAnsi="Times New Roman"/>
          <w:sz w:val="28"/>
          <w:szCs w:val="28"/>
        </w:rPr>
        <w:t xml:space="preserve"> habe mit ihrem Leib – was nach alt überlieferter kirchlicher Lehre bei allen anderen Menschen aufgrund deren Teilhabe an der </w:t>
      </w:r>
      <w:r w:rsidRPr="000253F0">
        <w:rPr>
          <w:rFonts w:ascii="Times New Roman" w:hAnsi="Times New Roman"/>
          <w:i/>
          <w:sz w:val="28"/>
          <w:szCs w:val="28"/>
        </w:rPr>
        <w:t xml:space="preserve">Erbsündigkeit </w:t>
      </w:r>
      <w:r w:rsidRPr="000253F0">
        <w:rPr>
          <w:rFonts w:ascii="Times New Roman" w:hAnsi="Times New Roman"/>
          <w:sz w:val="28"/>
          <w:szCs w:val="28"/>
        </w:rPr>
        <w:t>nicht möglich ist. Das Dogma von der leiblichen Aufnahme Mariens gehört also</w:t>
      </w:r>
      <w:r w:rsidR="000253F0">
        <w:rPr>
          <w:rFonts w:ascii="Times New Roman" w:hAnsi="Times New Roman"/>
          <w:sz w:val="28"/>
          <w:szCs w:val="28"/>
        </w:rPr>
        <w:t xml:space="preserve"> </w:t>
      </w:r>
      <w:r w:rsidRPr="000253F0">
        <w:rPr>
          <w:rFonts w:ascii="Times New Roman" w:hAnsi="Times New Roman"/>
          <w:sz w:val="28"/>
          <w:szCs w:val="28"/>
        </w:rPr>
        <w:t>in die Klasse der analytisch-apriorischen Urteile und vermittelt damit, wie es ja auch von Immanuel Kant für sämtliche Urteile dieser Klasse angeführt worden ist,</w:t>
      </w:r>
      <w:r w:rsidRPr="000253F0">
        <w:rPr>
          <w:rStyle w:val="Funotenzeichen"/>
          <w:rFonts w:ascii="Times New Roman" w:hAnsi="Times New Roman"/>
          <w:sz w:val="28"/>
          <w:szCs w:val="28"/>
        </w:rPr>
        <w:footnoteReference w:id="3"/>
      </w:r>
      <w:r w:rsidRPr="000253F0">
        <w:rPr>
          <w:rFonts w:ascii="Times New Roman" w:hAnsi="Times New Roman"/>
          <w:sz w:val="28"/>
          <w:szCs w:val="28"/>
        </w:rPr>
        <w:t xml:space="preserve"> keinen Wissensgewinn, keine neue Wahrheit. Denn es folgt logisch zwingend aus einem vorher als wahr anerkennten Satz, kurz: Es ist inhaltlich überflüssig, enthält keine neuen Informationen (in der Sprache Kants: Es ist kein synthetisches Urteil).</w:t>
      </w:r>
    </w:p>
    <w:p w14:paraId="04B2964A" w14:textId="77777777" w:rsidR="00A024B5" w:rsidRPr="00071438" w:rsidRDefault="00A024B5" w:rsidP="00A024B5">
      <w:pPr>
        <w:keepNext/>
        <w:spacing w:after="0"/>
        <w:ind w:left="283" w:right="567"/>
        <w:rPr>
          <w:szCs w:val="24"/>
        </w:rPr>
      </w:pPr>
      <w:r>
        <w:rPr>
          <w:noProof/>
          <w:szCs w:val="24"/>
          <w:lang w:val="de-DE" w:eastAsia="de-DE"/>
        </w:rPr>
        <w:lastRenderedPageBreak/>
        <w:drawing>
          <wp:inline distT="0" distB="0" distL="0" distR="0" wp14:anchorId="14A6F58B" wp14:editId="64268560">
            <wp:extent cx="6159500" cy="4905375"/>
            <wp:effectExtent l="19050" t="0" r="0" b="0"/>
            <wp:docPr id="1" name="Bild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3"/>
                    <pic:cNvPicPr>
                      <a:picLocks noChangeAspect="1" noChangeArrowheads="1"/>
                    </pic:cNvPicPr>
                  </pic:nvPicPr>
                  <pic:blipFill>
                    <a:blip r:embed="rId8" cstate="print"/>
                    <a:srcRect/>
                    <a:stretch>
                      <a:fillRect/>
                    </a:stretch>
                  </pic:blipFill>
                  <pic:spPr bwMode="auto">
                    <a:xfrm>
                      <a:off x="0" y="0"/>
                      <a:ext cx="6159500" cy="4905375"/>
                    </a:xfrm>
                    <a:prstGeom prst="rect">
                      <a:avLst/>
                    </a:prstGeom>
                    <a:noFill/>
                    <a:ln w="9525">
                      <a:noFill/>
                      <a:miter lim="800000"/>
                      <a:headEnd/>
                      <a:tailEnd/>
                    </a:ln>
                  </pic:spPr>
                </pic:pic>
              </a:graphicData>
            </a:graphic>
          </wp:inline>
        </w:drawing>
      </w:r>
    </w:p>
    <w:p w14:paraId="523C3C85" w14:textId="3BCB353F" w:rsidR="00A024B5" w:rsidRPr="00071438" w:rsidRDefault="00A024B5" w:rsidP="00A024B5">
      <w:pPr>
        <w:pStyle w:val="Beschriftung"/>
        <w:spacing w:after="0"/>
        <w:ind w:left="2124"/>
        <w:jc w:val="center"/>
        <w:rPr>
          <w:b/>
          <w:color w:val="auto"/>
          <w:sz w:val="24"/>
          <w:szCs w:val="24"/>
        </w:rPr>
      </w:pPr>
      <w:r w:rsidRPr="00071438">
        <w:rPr>
          <w:color w:val="auto"/>
          <w:sz w:val="24"/>
          <w:szCs w:val="24"/>
        </w:rPr>
        <w:t xml:space="preserve">Abb. </w:t>
      </w:r>
      <w:r w:rsidRPr="00071438">
        <w:rPr>
          <w:b/>
          <w:color w:val="auto"/>
          <w:sz w:val="24"/>
          <w:szCs w:val="24"/>
        </w:rPr>
        <w:fldChar w:fldCharType="begin"/>
      </w:r>
      <w:r w:rsidRPr="00071438">
        <w:rPr>
          <w:color w:val="auto"/>
          <w:sz w:val="24"/>
          <w:szCs w:val="24"/>
        </w:rPr>
        <w:instrText xml:space="preserve"> SEQ Abb. \* ARABIC </w:instrText>
      </w:r>
      <w:r w:rsidRPr="00071438">
        <w:rPr>
          <w:b/>
          <w:color w:val="auto"/>
          <w:sz w:val="24"/>
          <w:szCs w:val="24"/>
        </w:rPr>
        <w:fldChar w:fldCharType="separate"/>
      </w:r>
      <w:r w:rsidR="00880062">
        <w:rPr>
          <w:noProof/>
          <w:color w:val="auto"/>
          <w:sz w:val="24"/>
          <w:szCs w:val="24"/>
        </w:rPr>
        <w:t>1</w:t>
      </w:r>
      <w:r w:rsidRPr="00071438">
        <w:rPr>
          <w:b/>
          <w:color w:val="auto"/>
          <w:sz w:val="24"/>
          <w:szCs w:val="24"/>
        </w:rPr>
        <w:fldChar w:fldCharType="end"/>
      </w:r>
      <w:r w:rsidRPr="00071438">
        <w:rPr>
          <w:color w:val="auto"/>
          <w:sz w:val="24"/>
          <w:szCs w:val="24"/>
        </w:rPr>
        <w:t>: Die christlichen Konfessionen</w:t>
      </w:r>
    </w:p>
    <w:p w14:paraId="6BEA9786" w14:textId="704BF4F3" w:rsidR="00A024B5" w:rsidRPr="000253F0" w:rsidRDefault="00A024B5" w:rsidP="00A024B5">
      <w:pPr>
        <w:rPr>
          <w:b/>
          <w:sz w:val="24"/>
          <w:szCs w:val="24"/>
        </w:rPr>
      </w:pPr>
      <w:r w:rsidRPr="000253F0">
        <w:rPr>
          <w:b/>
          <w:sz w:val="24"/>
          <w:szCs w:val="24"/>
        </w:rPr>
        <w:t>Aufgaben</w:t>
      </w:r>
      <w:r w:rsidR="000253F0" w:rsidRPr="000253F0">
        <w:rPr>
          <w:b/>
          <w:sz w:val="24"/>
          <w:szCs w:val="24"/>
        </w:rPr>
        <w:t>:</w:t>
      </w:r>
    </w:p>
    <w:p w14:paraId="21C3EE63" w14:textId="427BB394" w:rsidR="00A024B5" w:rsidRPr="00662E6B" w:rsidRDefault="00A024B5" w:rsidP="00A024B5">
      <w:pPr>
        <w:pStyle w:val="Listenabsatz"/>
        <w:numPr>
          <w:ilvl w:val="0"/>
          <w:numId w:val="24"/>
        </w:numPr>
        <w:spacing w:after="240" w:line="276" w:lineRule="auto"/>
        <w:ind w:left="714" w:hanging="357"/>
        <w:contextualSpacing w:val="0"/>
        <w:jc w:val="both"/>
        <w:rPr>
          <w:sz w:val="20"/>
          <w:szCs w:val="20"/>
        </w:rPr>
      </w:pPr>
      <w:r w:rsidRPr="00D97D52">
        <w:rPr>
          <w:szCs w:val="24"/>
        </w:rPr>
        <w:t>Welche inner- und welche zwischengemeindlichen Unterschiede</w:t>
      </w:r>
      <w:r>
        <w:rPr>
          <w:szCs w:val="24"/>
        </w:rPr>
        <w:t xml:space="preserve"> oder Konflikte</w:t>
      </w:r>
      <w:r w:rsidRPr="00D97D52">
        <w:rPr>
          <w:szCs w:val="24"/>
        </w:rPr>
        <w:t xml:space="preserve"> </w:t>
      </w:r>
      <w:r>
        <w:rPr>
          <w:szCs w:val="24"/>
        </w:rPr>
        <w:t xml:space="preserve">sind uns </w:t>
      </w:r>
      <w:r w:rsidRPr="00D97D52">
        <w:rPr>
          <w:szCs w:val="24"/>
        </w:rPr>
        <w:t>aus dem Leben der Christengemeinden der ersten Jahrhunderte</w:t>
      </w:r>
      <w:r>
        <w:rPr>
          <w:szCs w:val="24"/>
        </w:rPr>
        <w:t xml:space="preserve"> bekannt?</w:t>
      </w:r>
      <w:r w:rsidRPr="00D97D52">
        <w:rPr>
          <w:szCs w:val="24"/>
        </w:rPr>
        <w:t xml:space="preserve"> Nenne die Konflikte bzw. Unterscheidungen und kennzeichne deren jeweilige Bedeutung für den Glauben bzw. für die praktizierte christliche Religiosität</w:t>
      </w:r>
      <w:r>
        <w:rPr>
          <w:szCs w:val="24"/>
        </w:rPr>
        <w:t xml:space="preserve"> dieser ersten Christengemeinden. </w:t>
      </w:r>
      <w:r w:rsidRPr="00662E6B">
        <w:rPr>
          <w:sz w:val="20"/>
          <w:szCs w:val="20"/>
        </w:rPr>
        <w:t>[Reproduktion]</w:t>
      </w:r>
    </w:p>
    <w:p w14:paraId="749D056F" w14:textId="77777777" w:rsidR="00A024B5" w:rsidRPr="00D97D52" w:rsidRDefault="00A024B5" w:rsidP="00A024B5">
      <w:pPr>
        <w:pStyle w:val="Listenabsatz"/>
        <w:numPr>
          <w:ilvl w:val="0"/>
          <w:numId w:val="24"/>
        </w:numPr>
        <w:spacing w:after="240" w:line="276" w:lineRule="auto"/>
        <w:ind w:left="714" w:hanging="357"/>
        <w:contextualSpacing w:val="0"/>
        <w:jc w:val="both"/>
        <w:rPr>
          <w:szCs w:val="24"/>
        </w:rPr>
      </w:pPr>
      <w:r>
        <w:rPr>
          <w:szCs w:val="24"/>
        </w:rPr>
        <w:t>Nenne und begründe, w</w:t>
      </w:r>
      <w:r w:rsidRPr="00D97D52">
        <w:rPr>
          <w:szCs w:val="24"/>
        </w:rPr>
        <w:t xml:space="preserve">elche der theologischen Kerngehalte der reformatorischen Bewegung </w:t>
      </w:r>
      <w:r>
        <w:rPr>
          <w:szCs w:val="24"/>
        </w:rPr>
        <w:t>s</w:t>
      </w:r>
      <w:r w:rsidRPr="00D97D52">
        <w:rPr>
          <w:szCs w:val="24"/>
        </w:rPr>
        <w:t>ich für dich, zumindest in einem ersten Zugang, zutreffend an</w:t>
      </w:r>
      <w:r>
        <w:rPr>
          <w:szCs w:val="24"/>
        </w:rPr>
        <w:t>hören und</w:t>
      </w:r>
      <w:r w:rsidRPr="00D97D52">
        <w:rPr>
          <w:szCs w:val="24"/>
        </w:rPr>
        <w:t xml:space="preserve"> welche eher nicht</w:t>
      </w:r>
      <w:r>
        <w:rPr>
          <w:szCs w:val="24"/>
        </w:rPr>
        <w:t xml:space="preserve">, </w:t>
      </w:r>
      <w:r w:rsidRPr="00662E6B">
        <w:rPr>
          <w:sz w:val="20"/>
          <w:szCs w:val="20"/>
        </w:rPr>
        <w:t>[Denken/Reflexion]</w:t>
      </w:r>
    </w:p>
    <w:p w14:paraId="46E65960" w14:textId="77777777" w:rsidR="00A024B5" w:rsidRPr="00D97D52" w:rsidRDefault="00A024B5" w:rsidP="00A024B5">
      <w:pPr>
        <w:pStyle w:val="Listenabsatz"/>
        <w:numPr>
          <w:ilvl w:val="0"/>
          <w:numId w:val="24"/>
        </w:numPr>
        <w:spacing w:after="240" w:line="276" w:lineRule="auto"/>
        <w:ind w:left="714" w:hanging="357"/>
        <w:contextualSpacing w:val="0"/>
        <w:jc w:val="both"/>
        <w:rPr>
          <w:szCs w:val="24"/>
        </w:rPr>
      </w:pPr>
      <w:r w:rsidRPr="00D97D52">
        <w:rPr>
          <w:szCs w:val="24"/>
        </w:rPr>
        <w:t xml:space="preserve">Formuliere die vier Punkte der theologischen Programmatik der reformatorischen Kirche mit eigenen </w:t>
      </w:r>
      <w:r>
        <w:rPr>
          <w:szCs w:val="24"/>
        </w:rPr>
        <w:t xml:space="preserve">(allgemeinsprachlichen) </w:t>
      </w:r>
      <w:r w:rsidRPr="00D97D52">
        <w:rPr>
          <w:szCs w:val="24"/>
        </w:rPr>
        <w:t>Worten</w:t>
      </w:r>
      <w:r>
        <w:rPr>
          <w:szCs w:val="24"/>
        </w:rPr>
        <w:t xml:space="preserve">, d.h. </w:t>
      </w:r>
      <w:r w:rsidRPr="00D97D52">
        <w:rPr>
          <w:szCs w:val="24"/>
        </w:rPr>
        <w:t>ohne Verwendung religiöser oder liturgischer</w:t>
      </w:r>
      <w:r>
        <w:rPr>
          <w:szCs w:val="24"/>
        </w:rPr>
        <w:t xml:space="preserve"> oder theologischer (fachsprachlicher) Worte</w:t>
      </w:r>
      <w:r w:rsidRPr="00D97D52">
        <w:rPr>
          <w:szCs w:val="24"/>
        </w:rPr>
        <w:t>.</w:t>
      </w:r>
      <w:r>
        <w:rPr>
          <w:szCs w:val="24"/>
        </w:rPr>
        <w:t xml:space="preserve"> Kannst du dieser Programmatik zustimmen? Begründe deine Antwort. [</w:t>
      </w:r>
      <w:r w:rsidRPr="00662E6B">
        <w:rPr>
          <w:sz w:val="20"/>
          <w:szCs w:val="20"/>
        </w:rPr>
        <w:t>Transfer]</w:t>
      </w:r>
    </w:p>
    <w:p w14:paraId="532A14B6" w14:textId="10917818" w:rsidR="00B3685C" w:rsidRPr="0036344B" w:rsidRDefault="00A024B5" w:rsidP="0036344B">
      <w:pPr>
        <w:pStyle w:val="Listenabsatz"/>
        <w:numPr>
          <w:ilvl w:val="0"/>
          <w:numId w:val="24"/>
        </w:numPr>
        <w:spacing w:after="240" w:line="276" w:lineRule="auto"/>
        <w:ind w:left="714" w:hanging="357"/>
        <w:contextualSpacing w:val="0"/>
        <w:jc w:val="both"/>
        <w:rPr>
          <w:szCs w:val="24"/>
        </w:rPr>
      </w:pPr>
      <w:r>
        <w:rPr>
          <w:szCs w:val="24"/>
        </w:rPr>
        <w:lastRenderedPageBreak/>
        <w:t>Nenne</w:t>
      </w:r>
      <w:r w:rsidRPr="00D97D52">
        <w:rPr>
          <w:szCs w:val="24"/>
        </w:rPr>
        <w:t xml:space="preserve"> das Dogma von der Unfehlbarkeit des Papstes</w:t>
      </w:r>
      <w:r>
        <w:rPr>
          <w:szCs w:val="24"/>
        </w:rPr>
        <w:t xml:space="preserve"> und entscheide unter Anführung hinreichender Argumente, ob es wahr ist oder nicht. </w:t>
      </w:r>
      <w:r w:rsidRPr="00662E6B">
        <w:rPr>
          <w:sz w:val="20"/>
          <w:szCs w:val="20"/>
        </w:rPr>
        <w:t>[Denken/Reflexion]</w:t>
      </w:r>
    </w:p>
    <w:sectPr w:rsidR="00B3685C" w:rsidRPr="0036344B"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B1EB" w14:textId="77777777" w:rsidR="00B0103C" w:rsidRDefault="00B0103C" w:rsidP="009042F2">
      <w:pPr>
        <w:spacing w:after="0" w:line="240" w:lineRule="auto"/>
      </w:pPr>
      <w:r>
        <w:separator/>
      </w:r>
    </w:p>
  </w:endnote>
  <w:endnote w:type="continuationSeparator" w:id="0">
    <w:p w14:paraId="2D0317C1" w14:textId="77777777" w:rsidR="00B0103C" w:rsidRDefault="00B0103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1A5454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80062">
              <w:rPr>
                <w:bCs/>
                <w:noProof/>
                <w:sz w:val="16"/>
                <w:szCs w:val="16"/>
              </w:rPr>
              <w:t>Die christlichen Konfessionen - MB 422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08A6" w14:textId="77777777" w:rsidR="00B0103C" w:rsidRDefault="00B0103C" w:rsidP="009042F2">
      <w:pPr>
        <w:spacing w:after="0" w:line="240" w:lineRule="auto"/>
      </w:pPr>
      <w:r>
        <w:separator/>
      </w:r>
    </w:p>
  </w:footnote>
  <w:footnote w:type="continuationSeparator" w:id="0">
    <w:p w14:paraId="20C6B370" w14:textId="77777777" w:rsidR="00B0103C" w:rsidRDefault="00B0103C" w:rsidP="009042F2">
      <w:pPr>
        <w:spacing w:after="0" w:line="240" w:lineRule="auto"/>
      </w:pPr>
      <w:r>
        <w:continuationSeparator/>
      </w:r>
    </w:p>
  </w:footnote>
  <w:footnote w:id="1">
    <w:p w14:paraId="34D79056" w14:textId="77777777" w:rsidR="00A024B5" w:rsidRPr="005E4F3E" w:rsidRDefault="00A024B5" w:rsidP="00A024B5">
      <w:pPr>
        <w:pStyle w:val="Funotentext"/>
      </w:pPr>
      <w:r>
        <w:rPr>
          <w:rStyle w:val="Funotenzeichen"/>
        </w:rPr>
        <w:footnoteRef/>
      </w:r>
      <w:r>
        <w:t xml:space="preserve"> Es ist dieses das im heutigen </w:t>
      </w:r>
      <w:r w:rsidRPr="00397099">
        <w:t>Syrien</w:t>
      </w:r>
      <w:r>
        <w:t xml:space="preserve"> gelegene Antiochien, </w:t>
      </w:r>
      <w:r w:rsidRPr="00397099">
        <w:t xml:space="preserve">nicht zu verwechseln mit </w:t>
      </w:r>
      <w:r>
        <w:t xml:space="preserve">jenem </w:t>
      </w:r>
      <w:r w:rsidRPr="00397099">
        <w:t>in Istrien, 50km nördlich von Jerusalem</w:t>
      </w:r>
      <w:r>
        <w:t>.</w:t>
      </w:r>
    </w:p>
  </w:footnote>
  <w:footnote w:id="2">
    <w:p w14:paraId="58DC66BB" w14:textId="77777777" w:rsidR="00A024B5" w:rsidRPr="00397099" w:rsidRDefault="00A024B5" w:rsidP="00A024B5">
      <w:pPr>
        <w:pStyle w:val="Funotentext"/>
      </w:pPr>
      <w:r>
        <w:rPr>
          <w:rStyle w:val="Funotenzeichen"/>
        </w:rPr>
        <w:footnoteRef/>
      </w:r>
      <w:r>
        <w:t xml:space="preserve"> </w:t>
      </w:r>
      <w:r w:rsidRPr="00397099">
        <w:t>Neben diesen Anfängen einer Differenzierung der Christen aufgrund inhaltlicher (theologischer) Divergenzen gab es in der frühen Kirche die (wesentlich wirkmächtigeren, die Einheit mehr gefährdenden) Konflikte zwischen einzelnen Gemeindemitgliedern, so z.B. der Streit in der Gemeinde in Korinth (1 Kor 1-4), hervorgerufen auch durch den Personenkult (</w:t>
      </w:r>
      <w:proofErr w:type="spellStart"/>
      <w:r w:rsidRPr="00397099">
        <w:t>Kephas</w:t>
      </w:r>
      <w:proofErr w:type="spellEnd"/>
      <w:r w:rsidRPr="00397099">
        <w:t xml:space="preserve">, Paulus, Apollos). Übersehen wurde in den damaligen Streitereien, dass alle Gemeindemitglieder aufgrund ihres </w:t>
      </w:r>
      <w:proofErr w:type="spellStart"/>
      <w:r w:rsidRPr="00397099">
        <w:t>Getauftseins</w:t>
      </w:r>
      <w:proofErr w:type="spellEnd"/>
      <w:r w:rsidRPr="00397099">
        <w:t xml:space="preserve"> eine wesentliche Einheit bilden, die Einheit nämlich der </w:t>
      </w:r>
      <w:r>
        <w:t>‚</w:t>
      </w:r>
      <w:r w:rsidRPr="00397099">
        <w:t>durch das Kreuz und die Auferweckung Jesu von der (Erb-)Sünde erlösten Menschen</w:t>
      </w:r>
      <w:r>
        <w:t>‘</w:t>
      </w:r>
      <w:r w:rsidRPr="00397099">
        <w:t>, bzw. ku</w:t>
      </w:r>
      <w:r>
        <w:t>rz: Die Einheit der ‚</w:t>
      </w:r>
      <w:r w:rsidRPr="00397099">
        <w:t>Christen</w:t>
      </w:r>
      <w:r>
        <w:t>‘</w:t>
      </w:r>
      <w:r w:rsidRPr="00397099">
        <w:t>.</w:t>
      </w:r>
    </w:p>
  </w:footnote>
  <w:footnote w:id="3">
    <w:p w14:paraId="1A5DEF46" w14:textId="77777777" w:rsidR="00A024B5" w:rsidRDefault="00A024B5" w:rsidP="00A024B5">
      <w:pPr>
        <w:pStyle w:val="Funotentext"/>
      </w:pPr>
      <w:r>
        <w:rPr>
          <w:rStyle w:val="Funotenzeichen"/>
        </w:rPr>
        <w:footnoteRef/>
      </w:r>
      <w:r>
        <w:t xml:space="preserve"> Siehe Kompetenzblatt 28 – Einführung in die Philosophie (I): Immanuel Kant.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DA43F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FB15F0"/>
    <w:multiLevelType w:val="hybridMultilevel"/>
    <w:tmpl w:val="313673F8"/>
    <w:lvl w:ilvl="0" w:tplc="0C070001">
      <w:start w:val="1"/>
      <w:numFmt w:val="bullet"/>
      <w:lvlText w:val=""/>
      <w:lvlJc w:val="left"/>
      <w:pPr>
        <w:tabs>
          <w:tab w:val="num" w:pos="814"/>
        </w:tabs>
        <w:ind w:left="814" w:hanging="360"/>
      </w:pPr>
      <w:rPr>
        <w:rFonts w:ascii="Symbol" w:hAnsi="Symbol" w:hint="default"/>
      </w:rPr>
    </w:lvl>
    <w:lvl w:ilvl="1" w:tplc="292E3C50">
      <w:start w:val="1"/>
      <w:numFmt w:val="bullet"/>
      <w:lvlText w:val=""/>
      <w:lvlJc w:val="left"/>
      <w:pPr>
        <w:ind w:left="-230" w:hanging="360"/>
      </w:pPr>
      <w:rPr>
        <w:rFonts w:ascii="Symbol" w:hAnsi="Symbol" w:hint="default"/>
      </w:rPr>
    </w:lvl>
    <w:lvl w:ilvl="2" w:tplc="292E3C50">
      <w:start w:val="1"/>
      <w:numFmt w:val="bullet"/>
      <w:lvlText w:val=""/>
      <w:lvlJc w:val="left"/>
      <w:pPr>
        <w:ind w:left="490" w:hanging="360"/>
      </w:pPr>
      <w:rPr>
        <w:rFonts w:ascii="Symbol" w:hAnsi="Symbol" w:hint="default"/>
      </w:rPr>
    </w:lvl>
    <w:lvl w:ilvl="3" w:tplc="292E3C50">
      <w:start w:val="1"/>
      <w:numFmt w:val="bullet"/>
      <w:lvlText w:val=""/>
      <w:lvlJc w:val="left"/>
      <w:pPr>
        <w:ind w:left="1210" w:hanging="360"/>
      </w:pPr>
      <w:rPr>
        <w:rFonts w:ascii="Symbol" w:hAnsi="Symbol" w:hint="default"/>
      </w:rPr>
    </w:lvl>
    <w:lvl w:ilvl="4" w:tplc="292E3C50">
      <w:start w:val="1"/>
      <w:numFmt w:val="bullet"/>
      <w:lvlText w:val=""/>
      <w:lvlJc w:val="left"/>
      <w:pPr>
        <w:ind w:left="1930" w:hanging="360"/>
      </w:pPr>
      <w:rPr>
        <w:rFonts w:ascii="Symbol" w:hAnsi="Symbol" w:hint="default"/>
      </w:rPr>
    </w:lvl>
    <w:lvl w:ilvl="5" w:tplc="0C070005" w:tentative="1">
      <w:start w:val="1"/>
      <w:numFmt w:val="bullet"/>
      <w:lvlText w:val=""/>
      <w:lvlJc w:val="left"/>
      <w:pPr>
        <w:ind w:left="2650" w:hanging="360"/>
      </w:pPr>
      <w:rPr>
        <w:rFonts w:ascii="Wingdings" w:hAnsi="Wingdings" w:hint="default"/>
      </w:rPr>
    </w:lvl>
    <w:lvl w:ilvl="6" w:tplc="0C070001" w:tentative="1">
      <w:start w:val="1"/>
      <w:numFmt w:val="bullet"/>
      <w:lvlText w:val=""/>
      <w:lvlJc w:val="left"/>
      <w:pPr>
        <w:ind w:left="3370" w:hanging="360"/>
      </w:pPr>
      <w:rPr>
        <w:rFonts w:ascii="Symbol" w:hAnsi="Symbol" w:hint="default"/>
      </w:rPr>
    </w:lvl>
    <w:lvl w:ilvl="7" w:tplc="0C070003" w:tentative="1">
      <w:start w:val="1"/>
      <w:numFmt w:val="bullet"/>
      <w:lvlText w:val="o"/>
      <w:lvlJc w:val="left"/>
      <w:pPr>
        <w:ind w:left="4090" w:hanging="360"/>
      </w:pPr>
      <w:rPr>
        <w:rFonts w:ascii="Courier New" w:hAnsi="Courier New" w:cs="Courier New" w:hint="default"/>
      </w:rPr>
    </w:lvl>
    <w:lvl w:ilvl="8" w:tplc="0C070005" w:tentative="1">
      <w:start w:val="1"/>
      <w:numFmt w:val="bullet"/>
      <w:lvlText w:val=""/>
      <w:lvlJc w:val="left"/>
      <w:pPr>
        <w:ind w:left="4810" w:hanging="360"/>
      </w:pPr>
      <w:rPr>
        <w:rFonts w:ascii="Wingdings" w:hAnsi="Wingdings" w:hint="default"/>
      </w:rPr>
    </w:lvl>
  </w:abstractNum>
  <w:abstractNum w:abstractNumId="3" w15:restartNumberingAfterBreak="0">
    <w:nsid w:val="12EE5BEA"/>
    <w:multiLevelType w:val="hybridMultilevel"/>
    <w:tmpl w:val="EBCC6E96"/>
    <w:lvl w:ilvl="0" w:tplc="292E3C5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814A97"/>
    <w:multiLevelType w:val="hybridMultilevel"/>
    <w:tmpl w:val="8054BAD6"/>
    <w:lvl w:ilvl="0" w:tplc="292E3C50">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846599"/>
    <w:multiLevelType w:val="hybridMultilevel"/>
    <w:tmpl w:val="690EDA68"/>
    <w:lvl w:ilvl="0" w:tplc="292E3C5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37C0347"/>
    <w:multiLevelType w:val="hybridMultilevel"/>
    <w:tmpl w:val="DFE2890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66B093B"/>
    <w:multiLevelType w:val="hybridMultilevel"/>
    <w:tmpl w:val="AE687888"/>
    <w:lvl w:ilvl="0" w:tplc="0C070001">
      <w:start w:val="1"/>
      <w:numFmt w:val="bullet"/>
      <w:lvlText w:val=""/>
      <w:lvlJc w:val="left"/>
      <w:pPr>
        <w:tabs>
          <w:tab w:val="num" w:pos="814"/>
        </w:tabs>
        <w:ind w:left="814" w:hanging="360"/>
      </w:pPr>
      <w:rPr>
        <w:rFonts w:ascii="Symbol" w:hAnsi="Symbol" w:hint="default"/>
      </w:rPr>
    </w:lvl>
    <w:lvl w:ilvl="1" w:tplc="292E3C50">
      <w:start w:val="1"/>
      <w:numFmt w:val="bullet"/>
      <w:lvlText w:val=""/>
      <w:lvlJc w:val="left"/>
      <w:pPr>
        <w:ind w:left="-230" w:hanging="360"/>
      </w:pPr>
      <w:rPr>
        <w:rFonts w:ascii="Symbol" w:hAnsi="Symbol" w:hint="default"/>
      </w:rPr>
    </w:lvl>
    <w:lvl w:ilvl="2" w:tplc="0C070015">
      <w:start w:val="1"/>
      <w:numFmt w:val="decimal"/>
      <w:lvlText w:val="(%3)"/>
      <w:lvlJc w:val="left"/>
      <w:pPr>
        <w:ind w:left="490" w:hanging="360"/>
      </w:pPr>
      <w:rPr>
        <w:rFonts w:hint="default"/>
      </w:rPr>
    </w:lvl>
    <w:lvl w:ilvl="3" w:tplc="292E3C50">
      <w:start w:val="1"/>
      <w:numFmt w:val="bullet"/>
      <w:lvlText w:val=""/>
      <w:lvlJc w:val="left"/>
      <w:pPr>
        <w:ind w:left="1210" w:hanging="360"/>
      </w:pPr>
      <w:rPr>
        <w:rFonts w:ascii="Symbol" w:hAnsi="Symbol" w:hint="default"/>
      </w:rPr>
    </w:lvl>
    <w:lvl w:ilvl="4" w:tplc="04070017">
      <w:start w:val="1"/>
      <w:numFmt w:val="lowerLetter"/>
      <w:lvlText w:val="%5)"/>
      <w:lvlJc w:val="left"/>
      <w:pPr>
        <w:ind w:left="1930" w:hanging="360"/>
      </w:pPr>
      <w:rPr>
        <w:rFonts w:hint="default"/>
      </w:rPr>
    </w:lvl>
    <w:lvl w:ilvl="5" w:tplc="0C070005" w:tentative="1">
      <w:start w:val="1"/>
      <w:numFmt w:val="bullet"/>
      <w:lvlText w:val=""/>
      <w:lvlJc w:val="left"/>
      <w:pPr>
        <w:ind w:left="2650" w:hanging="360"/>
      </w:pPr>
      <w:rPr>
        <w:rFonts w:ascii="Wingdings" w:hAnsi="Wingdings" w:hint="default"/>
      </w:rPr>
    </w:lvl>
    <w:lvl w:ilvl="6" w:tplc="0C070001" w:tentative="1">
      <w:start w:val="1"/>
      <w:numFmt w:val="bullet"/>
      <w:lvlText w:val=""/>
      <w:lvlJc w:val="left"/>
      <w:pPr>
        <w:ind w:left="3370" w:hanging="360"/>
      </w:pPr>
      <w:rPr>
        <w:rFonts w:ascii="Symbol" w:hAnsi="Symbol" w:hint="default"/>
      </w:rPr>
    </w:lvl>
    <w:lvl w:ilvl="7" w:tplc="0C070003" w:tentative="1">
      <w:start w:val="1"/>
      <w:numFmt w:val="bullet"/>
      <w:lvlText w:val="o"/>
      <w:lvlJc w:val="left"/>
      <w:pPr>
        <w:ind w:left="4090" w:hanging="360"/>
      </w:pPr>
      <w:rPr>
        <w:rFonts w:ascii="Courier New" w:hAnsi="Courier New" w:cs="Courier New" w:hint="default"/>
      </w:rPr>
    </w:lvl>
    <w:lvl w:ilvl="8" w:tplc="0C070005" w:tentative="1">
      <w:start w:val="1"/>
      <w:numFmt w:val="bullet"/>
      <w:lvlText w:val=""/>
      <w:lvlJc w:val="left"/>
      <w:pPr>
        <w:ind w:left="4810" w:hanging="360"/>
      </w:pPr>
      <w:rPr>
        <w:rFonts w:ascii="Wingdings" w:hAnsi="Wingdings" w:hint="default"/>
      </w:rPr>
    </w:lvl>
  </w:abstractNum>
  <w:abstractNum w:abstractNumId="9" w15:restartNumberingAfterBreak="0">
    <w:nsid w:val="2781446A"/>
    <w:multiLevelType w:val="hybridMultilevel"/>
    <w:tmpl w:val="BF26B008"/>
    <w:lvl w:ilvl="0" w:tplc="0C070015">
      <w:start w:val="1"/>
      <w:numFmt w:val="decimal"/>
      <w:lvlText w:val="(%1)"/>
      <w:lvlJc w:val="left"/>
      <w:pPr>
        <w:tabs>
          <w:tab w:val="num" w:pos="1628"/>
        </w:tabs>
        <w:ind w:left="1628" w:hanging="360"/>
      </w:pPr>
      <w:rPr>
        <w:rFonts w:hint="default"/>
      </w:rPr>
    </w:lvl>
    <w:lvl w:ilvl="1" w:tplc="0C070003">
      <w:start w:val="1"/>
      <w:numFmt w:val="bullet"/>
      <w:lvlText w:val="o"/>
      <w:lvlJc w:val="left"/>
      <w:pPr>
        <w:ind w:left="584" w:hanging="360"/>
      </w:pPr>
      <w:rPr>
        <w:rFonts w:ascii="Courier New" w:hAnsi="Courier New" w:cs="Courier New" w:hint="default"/>
      </w:rPr>
    </w:lvl>
    <w:lvl w:ilvl="2" w:tplc="0C070005">
      <w:start w:val="1"/>
      <w:numFmt w:val="bullet"/>
      <w:lvlText w:val=""/>
      <w:lvlJc w:val="left"/>
      <w:pPr>
        <w:ind w:left="1304" w:hanging="360"/>
      </w:pPr>
      <w:rPr>
        <w:rFonts w:ascii="Wingdings" w:hAnsi="Wingdings" w:hint="default"/>
      </w:rPr>
    </w:lvl>
    <w:lvl w:ilvl="3" w:tplc="0C070001">
      <w:start w:val="1"/>
      <w:numFmt w:val="bullet"/>
      <w:lvlText w:val=""/>
      <w:lvlJc w:val="left"/>
      <w:pPr>
        <w:ind w:left="2024" w:hanging="360"/>
      </w:pPr>
      <w:rPr>
        <w:rFonts w:ascii="Symbol" w:hAnsi="Symbol" w:hint="default"/>
      </w:rPr>
    </w:lvl>
    <w:lvl w:ilvl="4" w:tplc="0C070003" w:tentative="1">
      <w:start w:val="1"/>
      <w:numFmt w:val="bullet"/>
      <w:lvlText w:val="o"/>
      <w:lvlJc w:val="left"/>
      <w:pPr>
        <w:ind w:left="2744" w:hanging="360"/>
      </w:pPr>
      <w:rPr>
        <w:rFonts w:ascii="Courier New" w:hAnsi="Courier New" w:cs="Courier New" w:hint="default"/>
      </w:rPr>
    </w:lvl>
    <w:lvl w:ilvl="5" w:tplc="0C070005" w:tentative="1">
      <w:start w:val="1"/>
      <w:numFmt w:val="bullet"/>
      <w:lvlText w:val=""/>
      <w:lvlJc w:val="left"/>
      <w:pPr>
        <w:ind w:left="3464" w:hanging="360"/>
      </w:pPr>
      <w:rPr>
        <w:rFonts w:ascii="Wingdings" w:hAnsi="Wingdings" w:hint="default"/>
      </w:rPr>
    </w:lvl>
    <w:lvl w:ilvl="6" w:tplc="0C070001" w:tentative="1">
      <w:start w:val="1"/>
      <w:numFmt w:val="bullet"/>
      <w:lvlText w:val=""/>
      <w:lvlJc w:val="left"/>
      <w:pPr>
        <w:ind w:left="4184" w:hanging="360"/>
      </w:pPr>
      <w:rPr>
        <w:rFonts w:ascii="Symbol" w:hAnsi="Symbol" w:hint="default"/>
      </w:rPr>
    </w:lvl>
    <w:lvl w:ilvl="7" w:tplc="0C070003" w:tentative="1">
      <w:start w:val="1"/>
      <w:numFmt w:val="bullet"/>
      <w:lvlText w:val="o"/>
      <w:lvlJc w:val="left"/>
      <w:pPr>
        <w:ind w:left="4904" w:hanging="360"/>
      </w:pPr>
      <w:rPr>
        <w:rFonts w:ascii="Courier New" w:hAnsi="Courier New" w:cs="Courier New" w:hint="default"/>
      </w:rPr>
    </w:lvl>
    <w:lvl w:ilvl="8" w:tplc="0C070005" w:tentative="1">
      <w:start w:val="1"/>
      <w:numFmt w:val="bullet"/>
      <w:lvlText w:val=""/>
      <w:lvlJc w:val="left"/>
      <w:pPr>
        <w:ind w:left="5624" w:hanging="360"/>
      </w:pPr>
      <w:rPr>
        <w:rFonts w:ascii="Wingdings" w:hAnsi="Wingdings" w:hint="default"/>
      </w:rPr>
    </w:lvl>
  </w:abstractNum>
  <w:abstractNum w:abstractNumId="10" w15:restartNumberingAfterBreak="0">
    <w:nsid w:val="29C41009"/>
    <w:multiLevelType w:val="hybridMultilevel"/>
    <w:tmpl w:val="D8A8416A"/>
    <w:lvl w:ilvl="0" w:tplc="0C070015">
      <w:start w:val="1"/>
      <w:numFmt w:val="decimal"/>
      <w:lvlText w:val="(%1)"/>
      <w:lvlJc w:val="left"/>
      <w:pPr>
        <w:ind w:left="814" w:hanging="360"/>
      </w:pPr>
      <w:rPr>
        <w:rFonts w:hint="default"/>
      </w:rPr>
    </w:lvl>
    <w:lvl w:ilvl="1" w:tplc="0C070003">
      <w:start w:val="1"/>
      <w:numFmt w:val="bullet"/>
      <w:lvlText w:val="o"/>
      <w:lvlJc w:val="left"/>
      <w:pPr>
        <w:ind w:left="1534" w:hanging="360"/>
      </w:pPr>
      <w:rPr>
        <w:rFonts w:ascii="Courier New" w:hAnsi="Courier New" w:cs="Courier New" w:hint="default"/>
      </w:rPr>
    </w:lvl>
    <w:lvl w:ilvl="2" w:tplc="0C070005" w:tentative="1">
      <w:start w:val="1"/>
      <w:numFmt w:val="bullet"/>
      <w:lvlText w:val=""/>
      <w:lvlJc w:val="left"/>
      <w:pPr>
        <w:ind w:left="2254" w:hanging="360"/>
      </w:pPr>
      <w:rPr>
        <w:rFonts w:ascii="Wingdings" w:hAnsi="Wingdings" w:hint="default"/>
      </w:rPr>
    </w:lvl>
    <w:lvl w:ilvl="3" w:tplc="0C070001" w:tentative="1">
      <w:start w:val="1"/>
      <w:numFmt w:val="bullet"/>
      <w:lvlText w:val=""/>
      <w:lvlJc w:val="left"/>
      <w:pPr>
        <w:ind w:left="2974" w:hanging="360"/>
      </w:pPr>
      <w:rPr>
        <w:rFonts w:ascii="Symbol" w:hAnsi="Symbol" w:hint="default"/>
      </w:rPr>
    </w:lvl>
    <w:lvl w:ilvl="4" w:tplc="0C070003" w:tentative="1">
      <w:start w:val="1"/>
      <w:numFmt w:val="bullet"/>
      <w:lvlText w:val="o"/>
      <w:lvlJc w:val="left"/>
      <w:pPr>
        <w:ind w:left="3694" w:hanging="360"/>
      </w:pPr>
      <w:rPr>
        <w:rFonts w:ascii="Courier New" w:hAnsi="Courier New" w:cs="Courier New" w:hint="default"/>
      </w:rPr>
    </w:lvl>
    <w:lvl w:ilvl="5" w:tplc="0C070005" w:tentative="1">
      <w:start w:val="1"/>
      <w:numFmt w:val="bullet"/>
      <w:lvlText w:val=""/>
      <w:lvlJc w:val="left"/>
      <w:pPr>
        <w:ind w:left="4414" w:hanging="360"/>
      </w:pPr>
      <w:rPr>
        <w:rFonts w:ascii="Wingdings" w:hAnsi="Wingdings" w:hint="default"/>
      </w:rPr>
    </w:lvl>
    <w:lvl w:ilvl="6" w:tplc="0C070001" w:tentative="1">
      <w:start w:val="1"/>
      <w:numFmt w:val="bullet"/>
      <w:lvlText w:val=""/>
      <w:lvlJc w:val="left"/>
      <w:pPr>
        <w:ind w:left="5134" w:hanging="360"/>
      </w:pPr>
      <w:rPr>
        <w:rFonts w:ascii="Symbol" w:hAnsi="Symbol" w:hint="default"/>
      </w:rPr>
    </w:lvl>
    <w:lvl w:ilvl="7" w:tplc="0C070003" w:tentative="1">
      <w:start w:val="1"/>
      <w:numFmt w:val="bullet"/>
      <w:lvlText w:val="o"/>
      <w:lvlJc w:val="left"/>
      <w:pPr>
        <w:ind w:left="5854" w:hanging="360"/>
      </w:pPr>
      <w:rPr>
        <w:rFonts w:ascii="Courier New" w:hAnsi="Courier New" w:cs="Courier New" w:hint="default"/>
      </w:rPr>
    </w:lvl>
    <w:lvl w:ilvl="8" w:tplc="0C070005" w:tentative="1">
      <w:start w:val="1"/>
      <w:numFmt w:val="bullet"/>
      <w:lvlText w:val=""/>
      <w:lvlJc w:val="left"/>
      <w:pPr>
        <w:ind w:left="6574" w:hanging="360"/>
      </w:pPr>
      <w:rPr>
        <w:rFonts w:ascii="Wingdings" w:hAnsi="Wingdings" w:hint="default"/>
      </w:rPr>
    </w:lvl>
  </w:abstractNum>
  <w:abstractNum w:abstractNumId="11" w15:restartNumberingAfterBreak="0">
    <w:nsid w:val="33B317B4"/>
    <w:multiLevelType w:val="hybridMultilevel"/>
    <w:tmpl w:val="79927132"/>
    <w:lvl w:ilvl="0" w:tplc="292E3C50">
      <w:start w:val="1"/>
      <w:numFmt w:val="bullet"/>
      <w:lvlText w:val=""/>
      <w:lvlJc w:val="left"/>
      <w:pPr>
        <w:ind w:left="927" w:hanging="360"/>
      </w:pPr>
      <w:rPr>
        <w:rFonts w:ascii="Symbol" w:hAnsi="Symbol" w:hint="default"/>
      </w:rPr>
    </w:lvl>
    <w:lvl w:ilvl="1" w:tplc="0C070003">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1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7D0B47"/>
    <w:multiLevelType w:val="hybridMultilevel"/>
    <w:tmpl w:val="98E62714"/>
    <w:lvl w:ilvl="0" w:tplc="0407000D">
      <w:start w:val="1"/>
      <w:numFmt w:val="bullet"/>
      <w:lvlText w:val=""/>
      <w:lvlJc w:val="left"/>
      <w:pPr>
        <w:tabs>
          <w:tab w:val="num" w:pos="360"/>
        </w:tabs>
        <w:ind w:left="360" w:hanging="360"/>
      </w:pPr>
      <w:rPr>
        <w:rFonts w:ascii="Wingdings" w:hAnsi="Wingdings" w:hint="default"/>
      </w:rPr>
    </w:lvl>
    <w:lvl w:ilvl="1" w:tplc="292E3C50">
      <w:start w:val="1"/>
      <w:numFmt w:val="bullet"/>
      <w:lvlText w:val=""/>
      <w:lvlJc w:val="left"/>
      <w:pPr>
        <w:tabs>
          <w:tab w:val="num" w:pos="1080"/>
        </w:tabs>
        <w:ind w:left="1080" w:hanging="360"/>
      </w:pPr>
      <w:rPr>
        <w:rFonts w:ascii="Symbol" w:hAnsi="Symbol" w:hint="default"/>
      </w:rPr>
    </w:lvl>
    <w:lvl w:ilvl="2" w:tplc="292E3C50">
      <w:start w:val="1"/>
      <w:numFmt w:val="bullet"/>
      <w:lvlText w:val=""/>
      <w:lvlJc w:val="left"/>
      <w:pPr>
        <w:tabs>
          <w:tab w:val="num" w:pos="1800"/>
        </w:tabs>
        <w:ind w:left="1800" w:hanging="360"/>
      </w:pPr>
      <w:rPr>
        <w:rFonts w:ascii="Symbol" w:hAnsi="Symbol" w:hint="default"/>
      </w:rPr>
    </w:lvl>
    <w:lvl w:ilvl="3" w:tplc="292E3C50">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7E04C3"/>
    <w:multiLevelType w:val="hybridMultilevel"/>
    <w:tmpl w:val="C4EAFA84"/>
    <w:lvl w:ilvl="0" w:tplc="292E3C50">
      <w:start w:val="1"/>
      <w:numFmt w:val="bullet"/>
      <w:lvlText w:val=""/>
      <w:lvlJc w:val="left"/>
      <w:pPr>
        <w:ind w:left="400" w:hanging="360"/>
      </w:pPr>
      <w:rPr>
        <w:rFonts w:ascii="Symbol" w:hAnsi="Symbol" w:hint="default"/>
      </w:rPr>
    </w:lvl>
    <w:lvl w:ilvl="1" w:tplc="0C070003">
      <w:start w:val="1"/>
      <w:numFmt w:val="bullet"/>
      <w:lvlText w:val="o"/>
      <w:lvlJc w:val="left"/>
      <w:pPr>
        <w:ind w:left="1120" w:hanging="360"/>
      </w:pPr>
      <w:rPr>
        <w:rFonts w:ascii="Courier New" w:hAnsi="Courier New" w:cs="Courier New" w:hint="default"/>
      </w:rPr>
    </w:lvl>
    <w:lvl w:ilvl="2" w:tplc="0C070005" w:tentative="1">
      <w:start w:val="1"/>
      <w:numFmt w:val="bullet"/>
      <w:lvlText w:val=""/>
      <w:lvlJc w:val="left"/>
      <w:pPr>
        <w:ind w:left="1840" w:hanging="360"/>
      </w:pPr>
      <w:rPr>
        <w:rFonts w:ascii="Wingdings" w:hAnsi="Wingdings" w:hint="default"/>
      </w:rPr>
    </w:lvl>
    <w:lvl w:ilvl="3" w:tplc="0C070001" w:tentative="1">
      <w:start w:val="1"/>
      <w:numFmt w:val="bullet"/>
      <w:lvlText w:val=""/>
      <w:lvlJc w:val="left"/>
      <w:pPr>
        <w:ind w:left="2560" w:hanging="360"/>
      </w:pPr>
      <w:rPr>
        <w:rFonts w:ascii="Symbol" w:hAnsi="Symbol" w:hint="default"/>
      </w:rPr>
    </w:lvl>
    <w:lvl w:ilvl="4" w:tplc="0C070003" w:tentative="1">
      <w:start w:val="1"/>
      <w:numFmt w:val="bullet"/>
      <w:lvlText w:val="o"/>
      <w:lvlJc w:val="left"/>
      <w:pPr>
        <w:ind w:left="3280" w:hanging="360"/>
      </w:pPr>
      <w:rPr>
        <w:rFonts w:ascii="Courier New" w:hAnsi="Courier New" w:cs="Courier New" w:hint="default"/>
      </w:rPr>
    </w:lvl>
    <w:lvl w:ilvl="5" w:tplc="0C070005" w:tentative="1">
      <w:start w:val="1"/>
      <w:numFmt w:val="bullet"/>
      <w:lvlText w:val=""/>
      <w:lvlJc w:val="left"/>
      <w:pPr>
        <w:ind w:left="4000" w:hanging="360"/>
      </w:pPr>
      <w:rPr>
        <w:rFonts w:ascii="Wingdings" w:hAnsi="Wingdings" w:hint="default"/>
      </w:rPr>
    </w:lvl>
    <w:lvl w:ilvl="6" w:tplc="0C070001" w:tentative="1">
      <w:start w:val="1"/>
      <w:numFmt w:val="bullet"/>
      <w:lvlText w:val=""/>
      <w:lvlJc w:val="left"/>
      <w:pPr>
        <w:ind w:left="4720" w:hanging="360"/>
      </w:pPr>
      <w:rPr>
        <w:rFonts w:ascii="Symbol" w:hAnsi="Symbol" w:hint="default"/>
      </w:rPr>
    </w:lvl>
    <w:lvl w:ilvl="7" w:tplc="0C070003" w:tentative="1">
      <w:start w:val="1"/>
      <w:numFmt w:val="bullet"/>
      <w:lvlText w:val="o"/>
      <w:lvlJc w:val="left"/>
      <w:pPr>
        <w:ind w:left="5440" w:hanging="360"/>
      </w:pPr>
      <w:rPr>
        <w:rFonts w:ascii="Courier New" w:hAnsi="Courier New" w:cs="Courier New" w:hint="default"/>
      </w:rPr>
    </w:lvl>
    <w:lvl w:ilvl="8" w:tplc="0C070005" w:tentative="1">
      <w:start w:val="1"/>
      <w:numFmt w:val="bullet"/>
      <w:lvlText w:val=""/>
      <w:lvlJc w:val="left"/>
      <w:pPr>
        <w:ind w:left="6160" w:hanging="360"/>
      </w:pPr>
      <w:rPr>
        <w:rFonts w:ascii="Wingdings" w:hAnsi="Wingdings" w:hint="default"/>
      </w:rPr>
    </w:lvl>
  </w:abstractNum>
  <w:abstractNum w:abstractNumId="16" w15:restartNumberingAfterBreak="0">
    <w:nsid w:val="59513192"/>
    <w:multiLevelType w:val="hybridMultilevel"/>
    <w:tmpl w:val="B70A67A4"/>
    <w:lvl w:ilvl="0" w:tplc="0407000D">
      <w:start w:val="1"/>
      <w:numFmt w:val="bullet"/>
      <w:lvlText w:val=""/>
      <w:lvlJc w:val="left"/>
      <w:pPr>
        <w:tabs>
          <w:tab w:val="num" w:pos="360"/>
        </w:tabs>
        <w:ind w:left="360" w:hanging="360"/>
      </w:pPr>
      <w:rPr>
        <w:rFonts w:ascii="Wingdings" w:hAnsi="Wingdings" w:hint="default"/>
      </w:rPr>
    </w:lvl>
    <w:lvl w:ilvl="1" w:tplc="292E3C50">
      <w:start w:val="1"/>
      <w:numFmt w:val="bullet"/>
      <w:lvlText w:val=""/>
      <w:lvlJc w:val="left"/>
      <w:pPr>
        <w:tabs>
          <w:tab w:val="num" w:pos="1080"/>
        </w:tabs>
        <w:ind w:left="1080" w:hanging="360"/>
      </w:pPr>
      <w:rPr>
        <w:rFonts w:ascii="Symbol" w:hAnsi="Symbol" w:hint="default"/>
      </w:rPr>
    </w:lvl>
    <w:lvl w:ilvl="2" w:tplc="292E3C50">
      <w:start w:val="1"/>
      <w:numFmt w:val="bullet"/>
      <w:lvlText w:val=""/>
      <w:lvlJc w:val="left"/>
      <w:pPr>
        <w:tabs>
          <w:tab w:val="num" w:pos="1800"/>
        </w:tabs>
        <w:ind w:left="1800" w:hanging="360"/>
      </w:pPr>
      <w:rPr>
        <w:rFonts w:ascii="Symbol" w:hAnsi="Symbol"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4E6786"/>
    <w:multiLevelType w:val="hybridMultilevel"/>
    <w:tmpl w:val="76200496"/>
    <w:lvl w:ilvl="0" w:tplc="0C070015">
      <w:start w:val="1"/>
      <w:numFmt w:val="decimal"/>
      <w:lvlText w:val="(%1)"/>
      <w:lvlJc w:val="left"/>
      <w:pPr>
        <w:ind w:left="814" w:hanging="360"/>
      </w:pPr>
      <w:rPr>
        <w:rFonts w:hint="default"/>
      </w:rPr>
    </w:lvl>
    <w:lvl w:ilvl="1" w:tplc="0C070003">
      <w:start w:val="1"/>
      <w:numFmt w:val="bullet"/>
      <w:lvlText w:val="o"/>
      <w:lvlJc w:val="left"/>
      <w:pPr>
        <w:ind w:left="1534" w:hanging="360"/>
      </w:pPr>
      <w:rPr>
        <w:rFonts w:ascii="Courier New" w:hAnsi="Courier New" w:cs="Courier New" w:hint="default"/>
      </w:rPr>
    </w:lvl>
    <w:lvl w:ilvl="2" w:tplc="0C070005" w:tentative="1">
      <w:start w:val="1"/>
      <w:numFmt w:val="bullet"/>
      <w:lvlText w:val=""/>
      <w:lvlJc w:val="left"/>
      <w:pPr>
        <w:ind w:left="2254" w:hanging="360"/>
      </w:pPr>
      <w:rPr>
        <w:rFonts w:ascii="Wingdings" w:hAnsi="Wingdings" w:hint="default"/>
      </w:rPr>
    </w:lvl>
    <w:lvl w:ilvl="3" w:tplc="0C070001" w:tentative="1">
      <w:start w:val="1"/>
      <w:numFmt w:val="bullet"/>
      <w:lvlText w:val=""/>
      <w:lvlJc w:val="left"/>
      <w:pPr>
        <w:ind w:left="2974" w:hanging="360"/>
      </w:pPr>
      <w:rPr>
        <w:rFonts w:ascii="Symbol" w:hAnsi="Symbol" w:hint="default"/>
      </w:rPr>
    </w:lvl>
    <w:lvl w:ilvl="4" w:tplc="0C070003" w:tentative="1">
      <w:start w:val="1"/>
      <w:numFmt w:val="bullet"/>
      <w:lvlText w:val="o"/>
      <w:lvlJc w:val="left"/>
      <w:pPr>
        <w:ind w:left="3694" w:hanging="360"/>
      </w:pPr>
      <w:rPr>
        <w:rFonts w:ascii="Courier New" w:hAnsi="Courier New" w:cs="Courier New" w:hint="default"/>
      </w:rPr>
    </w:lvl>
    <w:lvl w:ilvl="5" w:tplc="0C070005" w:tentative="1">
      <w:start w:val="1"/>
      <w:numFmt w:val="bullet"/>
      <w:lvlText w:val=""/>
      <w:lvlJc w:val="left"/>
      <w:pPr>
        <w:ind w:left="4414" w:hanging="360"/>
      </w:pPr>
      <w:rPr>
        <w:rFonts w:ascii="Wingdings" w:hAnsi="Wingdings" w:hint="default"/>
      </w:rPr>
    </w:lvl>
    <w:lvl w:ilvl="6" w:tplc="0C070001" w:tentative="1">
      <w:start w:val="1"/>
      <w:numFmt w:val="bullet"/>
      <w:lvlText w:val=""/>
      <w:lvlJc w:val="left"/>
      <w:pPr>
        <w:ind w:left="5134" w:hanging="360"/>
      </w:pPr>
      <w:rPr>
        <w:rFonts w:ascii="Symbol" w:hAnsi="Symbol" w:hint="default"/>
      </w:rPr>
    </w:lvl>
    <w:lvl w:ilvl="7" w:tplc="0C070003" w:tentative="1">
      <w:start w:val="1"/>
      <w:numFmt w:val="bullet"/>
      <w:lvlText w:val="o"/>
      <w:lvlJc w:val="left"/>
      <w:pPr>
        <w:ind w:left="5854" w:hanging="360"/>
      </w:pPr>
      <w:rPr>
        <w:rFonts w:ascii="Courier New" w:hAnsi="Courier New" w:cs="Courier New" w:hint="default"/>
      </w:rPr>
    </w:lvl>
    <w:lvl w:ilvl="8" w:tplc="0C070005" w:tentative="1">
      <w:start w:val="1"/>
      <w:numFmt w:val="bullet"/>
      <w:lvlText w:val=""/>
      <w:lvlJc w:val="left"/>
      <w:pPr>
        <w:ind w:left="6574" w:hanging="360"/>
      </w:pPr>
      <w:rPr>
        <w:rFonts w:ascii="Wingdings" w:hAnsi="Wingdings" w:hint="default"/>
      </w:rPr>
    </w:lvl>
  </w:abstractNum>
  <w:abstractNum w:abstractNumId="18" w15:restartNumberingAfterBreak="0">
    <w:nsid w:val="6B8A4FB2"/>
    <w:multiLevelType w:val="hybridMultilevel"/>
    <w:tmpl w:val="98C43F38"/>
    <w:lvl w:ilvl="0" w:tplc="0C070001">
      <w:start w:val="1"/>
      <w:numFmt w:val="bullet"/>
      <w:lvlText w:val=""/>
      <w:lvlJc w:val="left"/>
      <w:pPr>
        <w:tabs>
          <w:tab w:val="num" w:pos="814"/>
        </w:tabs>
        <w:ind w:left="814" w:hanging="360"/>
      </w:pPr>
      <w:rPr>
        <w:rFonts w:ascii="Symbol" w:hAnsi="Symbol" w:hint="default"/>
      </w:rPr>
    </w:lvl>
    <w:lvl w:ilvl="1" w:tplc="292E3C50">
      <w:start w:val="1"/>
      <w:numFmt w:val="bullet"/>
      <w:lvlText w:val=""/>
      <w:lvlJc w:val="left"/>
      <w:pPr>
        <w:ind w:left="-230" w:hanging="360"/>
      </w:pPr>
      <w:rPr>
        <w:rFonts w:ascii="Symbol" w:hAnsi="Symbol" w:hint="default"/>
      </w:rPr>
    </w:lvl>
    <w:lvl w:ilvl="2" w:tplc="0C070015">
      <w:start w:val="1"/>
      <w:numFmt w:val="decimal"/>
      <w:lvlText w:val="(%3)"/>
      <w:lvlJc w:val="left"/>
      <w:pPr>
        <w:ind w:left="490" w:hanging="360"/>
      </w:pPr>
      <w:rPr>
        <w:rFonts w:hint="default"/>
      </w:rPr>
    </w:lvl>
    <w:lvl w:ilvl="3" w:tplc="292E3C50">
      <w:start w:val="1"/>
      <w:numFmt w:val="bullet"/>
      <w:lvlText w:val=""/>
      <w:lvlJc w:val="left"/>
      <w:pPr>
        <w:ind w:left="1210" w:hanging="360"/>
      </w:pPr>
      <w:rPr>
        <w:rFonts w:ascii="Symbol" w:hAnsi="Symbol" w:hint="default"/>
      </w:rPr>
    </w:lvl>
    <w:lvl w:ilvl="4" w:tplc="292E3C50">
      <w:start w:val="1"/>
      <w:numFmt w:val="bullet"/>
      <w:lvlText w:val=""/>
      <w:lvlJc w:val="left"/>
      <w:pPr>
        <w:ind w:left="1930" w:hanging="360"/>
      </w:pPr>
      <w:rPr>
        <w:rFonts w:ascii="Symbol" w:hAnsi="Symbol" w:hint="default"/>
      </w:rPr>
    </w:lvl>
    <w:lvl w:ilvl="5" w:tplc="0C070005" w:tentative="1">
      <w:start w:val="1"/>
      <w:numFmt w:val="bullet"/>
      <w:lvlText w:val=""/>
      <w:lvlJc w:val="left"/>
      <w:pPr>
        <w:ind w:left="2650" w:hanging="360"/>
      </w:pPr>
      <w:rPr>
        <w:rFonts w:ascii="Wingdings" w:hAnsi="Wingdings" w:hint="default"/>
      </w:rPr>
    </w:lvl>
    <w:lvl w:ilvl="6" w:tplc="0C070001" w:tentative="1">
      <w:start w:val="1"/>
      <w:numFmt w:val="bullet"/>
      <w:lvlText w:val=""/>
      <w:lvlJc w:val="left"/>
      <w:pPr>
        <w:ind w:left="3370" w:hanging="360"/>
      </w:pPr>
      <w:rPr>
        <w:rFonts w:ascii="Symbol" w:hAnsi="Symbol" w:hint="default"/>
      </w:rPr>
    </w:lvl>
    <w:lvl w:ilvl="7" w:tplc="0C070003" w:tentative="1">
      <w:start w:val="1"/>
      <w:numFmt w:val="bullet"/>
      <w:lvlText w:val="o"/>
      <w:lvlJc w:val="left"/>
      <w:pPr>
        <w:ind w:left="4090" w:hanging="360"/>
      </w:pPr>
      <w:rPr>
        <w:rFonts w:ascii="Courier New" w:hAnsi="Courier New" w:cs="Courier New" w:hint="default"/>
      </w:rPr>
    </w:lvl>
    <w:lvl w:ilvl="8" w:tplc="0C070005" w:tentative="1">
      <w:start w:val="1"/>
      <w:numFmt w:val="bullet"/>
      <w:lvlText w:val=""/>
      <w:lvlJc w:val="left"/>
      <w:pPr>
        <w:ind w:left="4810" w:hanging="360"/>
      </w:pPr>
      <w:rPr>
        <w:rFonts w:ascii="Wingdings" w:hAnsi="Wingdings" w:hint="default"/>
      </w:rPr>
    </w:lvl>
  </w:abstractNum>
  <w:abstractNum w:abstractNumId="19" w15:restartNumberingAfterBreak="0">
    <w:nsid w:val="77A11CDB"/>
    <w:multiLevelType w:val="hybridMultilevel"/>
    <w:tmpl w:val="B1BAD73C"/>
    <w:lvl w:ilvl="0" w:tplc="292E3C50">
      <w:start w:val="1"/>
      <w:numFmt w:val="bullet"/>
      <w:lvlText w:val=""/>
      <w:lvlJc w:val="left"/>
      <w:pPr>
        <w:ind w:left="1174" w:hanging="360"/>
      </w:pPr>
      <w:rPr>
        <w:rFonts w:ascii="Symbol" w:hAnsi="Symbol"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20" w15:restartNumberingAfterBreak="0">
    <w:nsid w:val="784D6392"/>
    <w:multiLevelType w:val="hybridMultilevel"/>
    <w:tmpl w:val="6E567350"/>
    <w:lvl w:ilvl="0" w:tplc="0C070001">
      <w:start w:val="1"/>
      <w:numFmt w:val="bullet"/>
      <w:lvlText w:val=""/>
      <w:lvlJc w:val="left"/>
      <w:pPr>
        <w:tabs>
          <w:tab w:val="num" w:pos="814"/>
        </w:tabs>
        <w:ind w:left="814" w:hanging="360"/>
      </w:pPr>
      <w:rPr>
        <w:rFonts w:ascii="Symbol" w:hAnsi="Symbol" w:hint="default"/>
      </w:rPr>
    </w:lvl>
    <w:lvl w:ilvl="1" w:tplc="292E3C50">
      <w:start w:val="1"/>
      <w:numFmt w:val="bullet"/>
      <w:lvlText w:val=""/>
      <w:lvlJc w:val="left"/>
      <w:pPr>
        <w:ind w:left="-230" w:hanging="360"/>
      </w:pPr>
      <w:rPr>
        <w:rFonts w:ascii="Symbol" w:hAnsi="Symbol" w:hint="default"/>
      </w:rPr>
    </w:lvl>
    <w:lvl w:ilvl="2" w:tplc="0C070005">
      <w:start w:val="1"/>
      <w:numFmt w:val="bullet"/>
      <w:lvlText w:val=""/>
      <w:lvlJc w:val="left"/>
      <w:pPr>
        <w:ind w:left="490" w:hanging="360"/>
      </w:pPr>
      <w:rPr>
        <w:rFonts w:ascii="Wingdings" w:hAnsi="Wingdings" w:hint="default"/>
      </w:rPr>
    </w:lvl>
    <w:lvl w:ilvl="3" w:tplc="292E3C50">
      <w:start w:val="1"/>
      <w:numFmt w:val="bullet"/>
      <w:lvlText w:val=""/>
      <w:lvlJc w:val="left"/>
      <w:pPr>
        <w:ind w:left="1210" w:hanging="360"/>
      </w:pPr>
      <w:rPr>
        <w:rFonts w:ascii="Symbol" w:hAnsi="Symbol" w:hint="default"/>
      </w:rPr>
    </w:lvl>
    <w:lvl w:ilvl="4" w:tplc="292E3C50">
      <w:start w:val="1"/>
      <w:numFmt w:val="bullet"/>
      <w:lvlText w:val=""/>
      <w:lvlJc w:val="left"/>
      <w:pPr>
        <w:ind w:left="1930" w:hanging="360"/>
      </w:pPr>
      <w:rPr>
        <w:rFonts w:ascii="Symbol" w:hAnsi="Symbol" w:hint="default"/>
      </w:rPr>
    </w:lvl>
    <w:lvl w:ilvl="5" w:tplc="0C070005" w:tentative="1">
      <w:start w:val="1"/>
      <w:numFmt w:val="bullet"/>
      <w:lvlText w:val=""/>
      <w:lvlJc w:val="left"/>
      <w:pPr>
        <w:ind w:left="2650" w:hanging="360"/>
      </w:pPr>
      <w:rPr>
        <w:rFonts w:ascii="Wingdings" w:hAnsi="Wingdings" w:hint="default"/>
      </w:rPr>
    </w:lvl>
    <w:lvl w:ilvl="6" w:tplc="0C070001" w:tentative="1">
      <w:start w:val="1"/>
      <w:numFmt w:val="bullet"/>
      <w:lvlText w:val=""/>
      <w:lvlJc w:val="left"/>
      <w:pPr>
        <w:ind w:left="3370" w:hanging="360"/>
      </w:pPr>
      <w:rPr>
        <w:rFonts w:ascii="Symbol" w:hAnsi="Symbol" w:hint="default"/>
      </w:rPr>
    </w:lvl>
    <w:lvl w:ilvl="7" w:tplc="0C070003" w:tentative="1">
      <w:start w:val="1"/>
      <w:numFmt w:val="bullet"/>
      <w:lvlText w:val="o"/>
      <w:lvlJc w:val="left"/>
      <w:pPr>
        <w:ind w:left="4090" w:hanging="360"/>
      </w:pPr>
      <w:rPr>
        <w:rFonts w:ascii="Courier New" w:hAnsi="Courier New" w:cs="Courier New" w:hint="default"/>
      </w:rPr>
    </w:lvl>
    <w:lvl w:ilvl="8" w:tplc="0C070005" w:tentative="1">
      <w:start w:val="1"/>
      <w:numFmt w:val="bullet"/>
      <w:lvlText w:val=""/>
      <w:lvlJc w:val="left"/>
      <w:pPr>
        <w:ind w:left="4810" w:hanging="360"/>
      </w:pPr>
      <w:rPr>
        <w:rFonts w:ascii="Wingdings" w:hAnsi="Wingdings" w:hint="default"/>
      </w:rPr>
    </w:lvl>
  </w:abstractNum>
  <w:abstractNum w:abstractNumId="21"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1"/>
  </w:num>
  <w:num w:numId="5">
    <w:abstractNumId w:val="5"/>
  </w:num>
  <w:num w:numId="6">
    <w:abstractNumId w:val="12"/>
  </w:num>
  <w:num w:numId="7">
    <w:abstractNumId w:val="14"/>
  </w:num>
  <w:num w:numId="8">
    <w:abstractNumId w:val="0"/>
  </w:num>
  <w:num w:numId="9">
    <w:abstractNumId w:val="4"/>
  </w:num>
  <w:num w:numId="10">
    <w:abstractNumId w:val="15"/>
  </w:num>
  <w:num w:numId="11">
    <w:abstractNumId w:val="10"/>
  </w:num>
  <w:num w:numId="12">
    <w:abstractNumId w:val="11"/>
  </w:num>
  <w:num w:numId="13">
    <w:abstractNumId w:val="17"/>
  </w:num>
  <w:num w:numId="14">
    <w:abstractNumId w:val="19"/>
  </w:num>
  <w:num w:numId="15">
    <w:abstractNumId w:val="9"/>
  </w:num>
  <w:num w:numId="16">
    <w:abstractNumId w:val="18"/>
  </w:num>
  <w:num w:numId="17">
    <w:abstractNumId w:val="6"/>
  </w:num>
  <w:num w:numId="18">
    <w:abstractNumId w:val="13"/>
  </w:num>
  <w:num w:numId="19">
    <w:abstractNumId w:val="2"/>
  </w:num>
  <w:num w:numId="20">
    <w:abstractNumId w:val="16"/>
  </w:num>
  <w:num w:numId="21">
    <w:abstractNumId w:val="3"/>
  </w:num>
  <w:num w:numId="22">
    <w:abstractNumId w:val="20"/>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3F0"/>
    <w:rsid w:val="00025F5D"/>
    <w:rsid w:val="000530E5"/>
    <w:rsid w:val="000653E3"/>
    <w:rsid w:val="0008119F"/>
    <w:rsid w:val="000A307D"/>
    <w:rsid w:val="000B279E"/>
    <w:rsid w:val="000D5104"/>
    <w:rsid w:val="000E2AB0"/>
    <w:rsid w:val="000F2730"/>
    <w:rsid w:val="001163B3"/>
    <w:rsid w:val="001417AC"/>
    <w:rsid w:val="001437C1"/>
    <w:rsid w:val="001873D9"/>
    <w:rsid w:val="001C6B92"/>
    <w:rsid w:val="001E38EA"/>
    <w:rsid w:val="0020430A"/>
    <w:rsid w:val="002865E0"/>
    <w:rsid w:val="0029037A"/>
    <w:rsid w:val="002C5206"/>
    <w:rsid w:val="00312588"/>
    <w:rsid w:val="00326301"/>
    <w:rsid w:val="0036344B"/>
    <w:rsid w:val="00391964"/>
    <w:rsid w:val="003A2EFF"/>
    <w:rsid w:val="003A7C4C"/>
    <w:rsid w:val="003B74B8"/>
    <w:rsid w:val="00400920"/>
    <w:rsid w:val="004064A8"/>
    <w:rsid w:val="00412FAA"/>
    <w:rsid w:val="00441778"/>
    <w:rsid w:val="004544CF"/>
    <w:rsid w:val="004971B9"/>
    <w:rsid w:val="004D10D9"/>
    <w:rsid w:val="005118EC"/>
    <w:rsid w:val="00556DDB"/>
    <w:rsid w:val="005C31E5"/>
    <w:rsid w:val="005D369D"/>
    <w:rsid w:val="005D7F34"/>
    <w:rsid w:val="005F4593"/>
    <w:rsid w:val="005F5FA3"/>
    <w:rsid w:val="006017A0"/>
    <w:rsid w:val="0063544C"/>
    <w:rsid w:val="00667FC6"/>
    <w:rsid w:val="006B741C"/>
    <w:rsid w:val="006D7E75"/>
    <w:rsid w:val="00773F59"/>
    <w:rsid w:val="007D0EAE"/>
    <w:rsid w:val="007E1C18"/>
    <w:rsid w:val="007F771A"/>
    <w:rsid w:val="00812352"/>
    <w:rsid w:val="00880062"/>
    <w:rsid w:val="008826BC"/>
    <w:rsid w:val="008A2590"/>
    <w:rsid w:val="008B48FA"/>
    <w:rsid w:val="008B705F"/>
    <w:rsid w:val="008D28EB"/>
    <w:rsid w:val="008D6374"/>
    <w:rsid w:val="008E12AC"/>
    <w:rsid w:val="00902A7C"/>
    <w:rsid w:val="009042F2"/>
    <w:rsid w:val="00907512"/>
    <w:rsid w:val="00914317"/>
    <w:rsid w:val="00945C9C"/>
    <w:rsid w:val="0094772A"/>
    <w:rsid w:val="00951E27"/>
    <w:rsid w:val="0099270C"/>
    <w:rsid w:val="009C5B05"/>
    <w:rsid w:val="009C5C04"/>
    <w:rsid w:val="009D32E5"/>
    <w:rsid w:val="00A024B5"/>
    <w:rsid w:val="00A055CF"/>
    <w:rsid w:val="00A27362"/>
    <w:rsid w:val="00A33F02"/>
    <w:rsid w:val="00A364C6"/>
    <w:rsid w:val="00A51E8F"/>
    <w:rsid w:val="00A52D31"/>
    <w:rsid w:val="00A60BB3"/>
    <w:rsid w:val="00A91067"/>
    <w:rsid w:val="00AE4CC4"/>
    <w:rsid w:val="00AF7758"/>
    <w:rsid w:val="00B0103C"/>
    <w:rsid w:val="00B3685C"/>
    <w:rsid w:val="00B4666D"/>
    <w:rsid w:val="00B57005"/>
    <w:rsid w:val="00B61565"/>
    <w:rsid w:val="00B868B5"/>
    <w:rsid w:val="00BB7FA8"/>
    <w:rsid w:val="00BD61BE"/>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405F5"/>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A024B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A024B5"/>
    <w:rPr>
      <w:rFonts w:ascii="Times New Roman" w:eastAsiaTheme="minorEastAsia" w:hAnsi="Times New Roman"/>
      <w:b/>
      <w:color w:val="5A5A5A" w:themeColor="text1" w:themeTint="A5"/>
      <w:spacing w:val="15"/>
      <w:sz w:val="44"/>
    </w:rPr>
  </w:style>
  <w:style w:type="paragraph" w:styleId="Beschriftung">
    <w:name w:val="caption"/>
    <w:basedOn w:val="Standard"/>
    <w:next w:val="Standard"/>
    <w:uiPriority w:val="35"/>
    <w:unhideWhenUsed/>
    <w:qFormat/>
    <w:rsid w:val="00A024B5"/>
    <w:pPr>
      <w:spacing w:after="200"/>
      <w:ind w:firstLine="284"/>
    </w:pPr>
    <w:rPr>
      <w:i/>
      <w:iCs/>
      <w:color w:val="44546A" w:themeColor="text2"/>
      <w:sz w:val="18"/>
      <w:szCs w:val="18"/>
    </w:rPr>
  </w:style>
  <w:style w:type="character" w:customStyle="1" w:styleId="margrechtsZchnZchn">
    <w:name w:val="marg rechts Zchn Zchn"/>
    <w:basedOn w:val="Absatz-Standardschriftart"/>
    <w:link w:val="margrechts"/>
    <w:rsid w:val="00A024B5"/>
    <w:rPr>
      <w:sz w:val="18"/>
      <w:szCs w:val="18"/>
      <w:lang w:eastAsia="de-DE"/>
    </w:rPr>
  </w:style>
  <w:style w:type="paragraph" w:customStyle="1" w:styleId="margrechts">
    <w:name w:val="marg rechts"/>
    <w:basedOn w:val="Standard"/>
    <w:link w:val="margrechtsZchnZchn"/>
    <w:autoRedefine/>
    <w:rsid w:val="00A024B5"/>
    <w:pPr>
      <w:framePr w:w="2552" w:hSpace="284" w:wrap="around" w:vAnchor="text" w:hAnchor="page" w:xAlign="right" w:y="1"/>
      <w:widowControl w:val="0"/>
      <w:spacing w:after="0" w:line="240" w:lineRule="auto"/>
      <w:ind w:right="454"/>
      <w:textboxTightWrap w:val="allLines"/>
    </w:pPr>
    <w:rPr>
      <w:rFonts w:asciiTheme="minorHAnsi" w:hAnsiTheme="minorHAnsi"/>
      <w:sz w:val="18"/>
      <w:szCs w:val="18"/>
      <w:lang w:eastAsia="de-DE"/>
    </w:rPr>
  </w:style>
  <w:style w:type="paragraph" w:styleId="Textkrper">
    <w:name w:val="Body Text"/>
    <w:basedOn w:val="Standard"/>
    <w:link w:val="TextkrperZchn"/>
    <w:uiPriority w:val="99"/>
    <w:unhideWhenUsed/>
    <w:rsid w:val="00A024B5"/>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A024B5"/>
    <w:rPr>
      <w:rFonts w:ascii="Arial" w:eastAsia="Calibri" w:hAnsi="Arial" w:cs="Times New Roman"/>
      <w:sz w:val="24"/>
    </w:rPr>
  </w:style>
  <w:style w:type="paragraph" w:styleId="Textkrper-Zeileneinzug">
    <w:name w:val="Body Text Indent"/>
    <w:basedOn w:val="Standard"/>
    <w:link w:val="Textkrper-ZeileneinzugZchn"/>
    <w:uiPriority w:val="99"/>
    <w:semiHidden/>
    <w:unhideWhenUsed/>
    <w:rsid w:val="00A024B5"/>
    <w:pPr>
      <w:spacing w:after="120"/>
      <w:ind w:left="283"/>
    </w:pPr>
  </w:style>
  <w:style w:type="character" w:customStyle="1" w:styleId="Textkrper-ZeileneinzugZchn">
    <w:name w:val="Textkörper-Zeileneinzug Zchn"/>
    <w:basedOn w:val="Absatz-Standardschriftart"/>
    <w:link w:val="Textkrper-Zeileneinzug"/>
    <w:uiPriority w:val="99"/>
    <w:semiHidden/>
    <w:rsid w:val="00A024B5"/>
    <w:rPr>
      <w:rFonts w:ascii="Times New Roman" w:hAnsi="Times New Roman"/>
      <w:sz w:val="28"/>
    </w:rPr>
  </w:style>
  <w:style w:type="paragraph" w:styleId="Textkrper-Erstzeileneinzug2">
    <w:name w:val="Body Text First Indent 2"/>
    <w:basedOn w:val="Textkrper-Zeileneinzug"/>
    <w:link w:val="Textkrper-Erstzeileneinzug2Zchn"/>
    <w:uiPriority w:val="99"/>
    <w:unhideWhenUsed/>
    <w:rsid w:val="00A024B5"/>
    <w:pPr>
      <w:spacing w:line="276" w:lineRule="auto"/>
      <w:ind w:right="2098" w:firstLine="210"/>
      <w:jc w:val="both"/>
    </w:pPr>
    <w:rPr>
      <w:rFonts w:ascii="Calibri" w:eastAsia="Calibri" w:hAnsi="Calibri" w:cs="Times New Roman"/>
      <w:sz w:val="24"/>
    </w:rPr>
  </w:style>
  <w:style w:type="character" w:customStyle="1" w:styleId="Textkrper-Erstzeileneinzug2Zchn">
    <w:name w:val="Textkörper-Erstzeileneinzug 2 Zchn"/>
    <w:basedOn w:val="Textkrper-ZeileneinzugZchn"/>
    <w:link w:val="Textkrper-Erstzeileneinzug2"/>
    <w:uiPriority w:val="99"/>
    <w:rsid w:val="00A024B5"/>
    <w:rPr>
      <w:rFonts w:ascii="Calibri" w:eastAsia="Calibri" w:hAnsi="Calibri" w:cs="Times New Roman"/>
      <w:sz w:val="24"/>
    </w:rPr>
  </w:style>
  <w:style w:type="paragraph" w:styleId="Textkrper-Erstzeileneinzug">
    <w:name w:val="Body Text First Indent"/>
    <w:basedOn w:val="Textkrper"/>
    <w:link w:val="Textkrper-ErstzeileneinzugZchn"/>
    <w:uiPriority w:val="99"/>
    <w:unhideWhenUsed/>
    <w:rsid w:val="00A024B5"/>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A024B5"/>
    <w:rPr>
      <w:rFonts w:ascii="Calibri" w:eastAsia="Calibri" w:hAnsi="Calibri" w:cs="Times New Roman"/>
      <w:sz w:val="24"/>
    </w:rPr>
  </w:style>
  <w:style w:type="paragraph" w:styleId="Aufzhlungszeichen2">
    <w:name w:val="List Bullet 2"/>
    <w:basedOn w:val="Standard"/>
    <w:uiPriority w:val="99"/>
    <w:unhideWhenUsed/>
    <w:rsid w:val="00A024B5"/>
    <w:pPr>
      <w:numPr>
        <w:numId w:val="8"/>
      </w:numPr>
      <w:spacing w:after="200" w:line="276" w:lineRule="auto"/>
      <w:ind w:right="2098"/>
      <w:contextualSpacing/>
    </w:pPr>
    <w:rPr>
      <w:rFonts w:ascii="Calibri" w:eastAsia="Calibri" w:hAnsi="Calibri" w:cs="Times New Roman"/>
      <w:sz w:val="24"/>
    </w:rPr>
  </w:style>
  <w:style w:type="paragraph" w:styleId="Listenfortsetzung3">
    <w:name w:val="List Continue 3"/>
    <w:basedOn w:val="Standard"/>
    <w:uiPriority w:val="99"/>
    <w:semiHidden/>
    <w:unhideWhenUsed/>
    <w:rsid w:val="00A024B5"/>
    <w:pPr>
      <w:spacing w:after="120"/>
      <w:ind w:left="849" w:right="2098"/>
      <w:contextualSpacing/>
      <w:jc w:val="both"/>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1821</Words>
  <Characters>11475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2021-11-26T14:14:00Z</cp:lastPrinted>
  <dcterms:created xsi:type="dcterms:W3CDTF">2021-08-19T10:50:00Z</dcterms:created>
  <dcterms:modified xsi:type="dcterms:W3CDTF">2021-11-26T14:15:00Z</dcterms:modified>
</cp:coreProperties>
</file>